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3C" w:rsidRPr="00090A3C" w:rsidRDefault="00090A3C" w:rsidP="00090A3C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3C" w:rsidRPr="00090A3C" w:rsidRDefault="00090A3C" w:rsidP="00090A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90A3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Заключение</w:t>
      </w:r>
    </w:p>
    <w:p w:rsidR="00090A3C" w:rsidRPr="00090A3C" w:rsidRDefault="00090A3C" w:rsidP="00090A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90A3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 результатах публичных слушаний</w:t>
      </w:r>
    </w:p>
    <w:p w:rsidR="00090A3C" w:rsidRPr="00090A3C" w:rsidRDefault="00090A3C" w:rsidP="00090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«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04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марта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3552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 </w:t>
      </w:r>
    </w:p>
    <w:p w:rsidR="00090A3C" w:rsidRPr="00090A3C" w:rsidRDefault="00090A3C" w:rsidP="00090A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0A3C" w:rsidRPr="00090A3C" w:rsidRDefault="00090A3C" w:rsidP="00090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Публичные слушания назначены </w:t>
      </w:r>
      <w:r w:rsidR="005F06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решением Азовской городской Думы 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«</w:t>
      </w:r>
      <w:r w:rsidR="003552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150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E150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г. № </w:t>
      </w:r>
      <w:r w:rsidR="003552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090A3C" w:rsidRPr="00090A3C" w:rsidRDefault="00090A3C" w:rsidP="00090A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0A3C" w:rsidRPr="00090A3C" w:rsidRDefault="00090A3C" w:rsidP="00090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02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марта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3552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г., с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16.00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часов до </w:t>
      </w:r>
      <w:r w:rsidR="003552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часов, в здании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Администрации города Азова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 Азов, пл. Петровская 4, третий этаж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проведены публичны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 слушания по</w:t>
      </w:r>
      <w:r w:rsidR="00436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367AE" w:rsidRPr="00436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проект</w:t>
      </w:r>
      <w:r w:rsidR="00436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r w:rsidR="004367AE" w:rsidRPr="00436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решения Азовской городской Думы «О 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принятии</w:t>
      </w:r>
      <w:r w:rsidR="004367AE" w:rsidRPr="00436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Устав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="004367AE" w:rsidRPr="00436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муниципального образования городского округа «Город Азов» Ростовской области»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090A3C" w:rsidRPr="00090A3C" w:rsidRDefault="00090A3C" w:rsidP="00090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Организатор публичных слушаний </w:t>
      </w:r>
      <w:r w:rsidR="005F06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постоянная комиссия Азовской городской Думы </w:t>
      </w:r>
      <w:r w:rsidR="005F06B9" w:rsidRPr="005F06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вопросам местного самоуправления, работе с общественными организациями, политическими партиями и правопорядку</w:t>
      </w:r>
      <w:r w:rsidR="005F06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090A3C" w:rsidRPr="00090A3C" w:rsidRDefault="00090A3C" w:rsidP="00090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публи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чных слушаниях приняло участие 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91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человек.</w:t>
      </w:r>
    </w:p>
    <w:p w:rsidR="00090A3C" w:rsidRPr="00090A3C" w:rsidRDefault="00090A3C" w:rsidP="00090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 результатам публичных слушаний составлен протокол публичных слушаний от 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02</w:t>
      </w:r>
      <w:r w:rsidR="003552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</w:t>
      </w:r>
      <w:r w:rsidR="003552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 </w:t>
      </w:r>
      <w:r w:rsidR="003552D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 основании которого подготовлено заключение о результатах публичных слушаний.</w:t>
      </w:r>
    </w:p>
    <w:p w:rsidR="00090A3C" w:rsidRPr="00090A3C" w:rsidRDefault="00090A3C" w:rsidP="00090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период проведения публичных слушаний всего подано замечаний и предложений от участников публичных слушаний: </w:t>
      </w:r>
      <w:r w:rsidR="00302E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987"/>
        <w:gridCol w:w="3199"/>
        <w:gridCol w:w="61"/>
      </w:tblGrid>
      <w:tr w:rsidR="00090A3C" w:rsidRPr="00090A3C" w:rsidTr="008E1F4F">
        <w:trPr>
          <w:trHeight w:val="15"/>
        </w:trPr>
        <w:tc>
          <w:tcPr>
            <w:tcW w:w="676" w:type="dxa"/>
            <w:hideMark/>
          </w:tcPr>
          <w:p w:rsidR="00090A3C" w:rsidRPr="00090A3C" w:rsidRDefault="00090A3C" w:rsidP="00090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hideMark/>
          </w:tcPr>
          <w:p w:rsidR="00090A3C" w:rsidRPr="00090A3C" w:rsidRDefault="00090A3C" w:rsidP="00090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9" w:type="dxa"/>
            <w:hideMark/>
          </w:tcPr>
          <w:p w:rsidR="00090A3C" w:rsidRPr="00090A3C" w:rsidRDefault="00090A3C" w:rsidP="00090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" w:type="dxa"/>
            <w:hideMark/>
          </w:tcPr>
          <w:p w:rsidR="00090A3C" w:rsidRPr="00090A3C" w:rsidRDefault="00090A3C" w:rsidP="00090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A3C" w:rsidRPr="00090A3C" w:rsidTr="008E1F4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A3C" w:rsidRPr="00090A3C" w:rsidRDefault="00090A3C" w:rsidP="00090A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A3C" w:rsidRPr="00090A3C" w:rsidRDefault="00090A3C" w:rsidP="00090A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внесенных предложений и замечаний участников публичных слушаний 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A3C" w:rsidRPr="00090A3C" w:rsidRDefault="00090A3C" w:rsidP="00090A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F06B9" w:rsidRPr="00090A3C" w:rsidTr="008E1F4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06B9" w:rsidRPr="00090A3C" w:rsidRDefault="00302EBF" w:rsidP="00090A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2EBF" w:rsidRPr="00302EBF" w:rsidRDefault="00302EBF" w:rsidP="00302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от Председателя Азовской городской Думы следующего содержания:</w:t>
            </w:r>
          </w:p>
          <w:p w:rsidR="005F06B9" w:rsidRPr="00090A3C" w:rsidRDefault="00302EBF" w:rsidP="00302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Предлагается в пункте 9 статьи 17 проекта решения Азовской городской Думы «О принятии Устава муниципального образования городского округа «Город Азов» Ростовской области» слова «О результатах публичных слушаний составляется заключение с мотивированным обоснованием принятого решения, подписываемое Главой города Азова.» заменить словами «О результатах публичных слушаний составляется заключение с мотивированным обоснованием принятого решения.</w:t>
            </w:r>
            <w:proofErr w:type="gramEnd"/>
            <w:r w:rsidRPr="0030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назначении публичных слушаний постановлением Главы города Азова, заключение подписывается Главой города Азова, при назначении публичных слушаний решением Азовской городской Думы - заключение подписывает Председатель Азовской городской Думы</w:t>
            </w:r>
            <w:proofErr w:type="gramStart"/>
            <w:r w:rsidRPr="0030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.».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06B9" w:rsidRPr="00090A3C" w:rsidRDefault="008E1F4F" w:rsidP="008E1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E1F4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Считать поступившие предложения целесообразными для учета и рассмотрения </w:t>
            </w:r>
            <w:r w:rsidR="006C1B0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постоянн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ой</w:t>
            </w:r>
            <w:r w:rsidR="006C1B0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ей</w:t>
            </w:r>
            <w:r w:rsidR="006C1B0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по </w:t>
            </w:r>
            <w:r w:rsidR="006C1B0E" w:rsidRPr="005F06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вопросам местного самоуправления, работе с общественными организациями, политическими партиями и правопорядку</w:t>
            </w:r>
            <w:r w:rsidR="006C1B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Азовской городской Думы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302EBF" w:rsidRPr="00090A3C" w:rsidTr="008E1F4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2EBF" w:rsidRDefault="00302EBF" w:rsidP="00090A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2EBF" w:rsidRDefault="00302EBF" w:rsidP="00302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от Симакова Игоря Борисовича следующего содержания:</w:t>
            </w:r>
          </w:p>
          <w:p w:rsidR="00302EBF" w:rsidRPr="00753F64" w:rsidRDefault="00302EBF" w:rsidP="00302EBF">
            <w:pPr>
              <w:pStyle w:val="3"/>
              <w:shd w:val="clear" w:color="auto" w:fill="auto"/>
              <w:ind w:left="20"/>
              <w:rPr>
                <w:sz w:val="24"/>
                <w:szCs w:val="24"/>
                <w:lang w:val="ru" w:eastAsia="ru-RU"/>
              </w:rPr>
            </w:pPr>
            <w:r w:rsidRPr="00753F64">
              <w:rPr>
                <w:sz w:val="24"/>
                <w:szCs w:val="24"/>
                <w:lang w:val="ru" w:eastAsia="ru-RU"/>
              </w:rPr>
              <w:t>«Замечания общего порядка, о юридической технике.</w:t>
            </w:r>
          </w:p>
          <w:p w:rsidR="00302EBF" w:rsidRPr="00753F64" w:rsidRDefault="00302EBF" w:rsidP="00302EBF">
            <w:pPr>
              <w:numPr>
                <w:ilvl w:val="0"/>
                <w:numId w:val="1"/>
              </w:numPr>
              <w:tabs>
                <w:tab w:val="left" w:pos="716"/>
              </w:tabs>
              <w:spacing w:after="0" w:line="298" w:lineRule="exact"/>
              <w:ind w:righ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 тексте Устава не соблюдается принцип единообразия в указании ссылок на действующее законодательство. В разных статьях Устава ссылка на закон излагается различно. </w:t>
            </w:r>
            <w:proofErr w:type="gramStart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Где-то закон указан с полным наименованием и всеми реквизитами (номер, дата принятия, наименование), где-то просто наименование закона, а где-то даже просто со ссылкой на закон, не на федеральное законодательство, как это часто бывает, а именно федеральный закон в именительном падеже, но без указания про какой конкретно закон идет речь (ст. 6 п. 4).</w:t>
            </w:r>
            <w:proofErr w:type="gramEnd"/>
          </w:p>
          <w:p w:rsidR="00302EBF" w:rsidRDefault="00302EBF" w:rsidP="00302E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В 9 статьях имеются ссылки на Устав г. Иваново, я так </w:t>
            </w:r>
            <w:proofErr w:type="gramStart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понимаю</w:t>
            </w:r>
            <w:proofErr w:type="gramEnd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юристы этого города невест схалтурили, когда писали для нас Устав города. То, что это тоже надо </w:t>
            </w:r>
            <w:proofErr w:type="gramStart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исправить уже было сказано</w:t>
            </w:r>
            <w:proofErr w:type="gramEnd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 (</w:t>
            </w:r>
            <w:proofErr w:type="spellStart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Ст</w:t>
            </w:r>
            <w:proofErr w:type="gramStart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.З</w:t>
            </w:r>
            <w:proofErr w:type="spellEnd"/>
            <w:proofErr w:type="gramEnd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п. 35; </w:t>
            </w:r>
            <w:proofErr w:type="spellStart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Ст.17</w:t>
            </w:r>
            <w:proofErr w:type="spellEnd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п. 6; </w:t>
            </w:r>
            <w:proofErr w:type="spellStart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Ст.19</w:t>
            </w:r>
            <w:proofErr w:type="spellEnd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п. 1; </w:t>
            </w:r>
            <w:proofErr w:type="spellStart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Ст.36</w:t>
            </w:r>
            <w:proofErr w:type="spellEnd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п. 6; Ст. 62 п. 3; Ст. 70 п. 2; Ст. 73 Наименование статьи и </w:t>
            </w:r>
            <w:proofErr w:type="spellStart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п.2</w:t>
            </w:r>
            <w:proofErr w:type="spellEnd"/>
            <w:r w:rsidRPr="00753F6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)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Предлагаемая редакция, дополнение, изменение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20 марта 2025 г. N 33-ФЗ настоящий документ признан утратившим силу с 1 января 2027 г. Предлагается дополнить статью ссылкой сразу на закон, который уже действует и будет действовать после отмены 131 ФЗ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Предлагается отказаться от отсылочной нормы и внести в Устав города описание установленного и зарегистрированного герба города Азова</w:t>
            </w:r>
          </w:p>
          <w:p w:rsid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требует уточнения, поскольку не отвечает принципу однозначности нормативного регулирования: какие граждане могут принимать участие в местном самоуправлении и в каких формах самоуправления в зависимости от своего статуса, 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 проживающие? Прописанные? Внутренние мигранты? для каких форм местного 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период оседлости. Одинаковый или разный? Или все могут голосовать, где в городе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скотомогильник размещать? Такой ценз, например, указан в настоящем проекте в статье о публичных слушаниях. А недееспособные тоже могут? Предлагается наделить правом на самоуправление в г. Азове только лиц, зарегистрированных по месту жительства в городе Азове, обладающих избирательным правом на выборах муниципального уровня (т.е. граждан РФ, совершеннолетних, дееспособных и находящихся на свободе).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5 статьи 45 Федерального закона «Об общих принципах организации местного самоуправления в единой системе публичной власти» устанавливает, что уставом муниципального образования должен быть определен порядок организации и проведения схода граждан. Определили, что сход, это не менее 10 человек примерно 3-4 домовладения или одна или 2 лестничные площадки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каково будет юридическое значение решений, 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принятого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разных сходах граждан по одному вопросу, но на разных территориях города. У какого из них будет приоритет. 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Напоминаю в Азове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неснятый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повестки вопрос о строительстве церкви на центральной площади разделил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ровно пополам. 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одна улица захочет в рамках инициативного проекта площадку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разместить в одном месте, а другая в другом. В такой редакции это или потенциально чрезвычайно конфликтная статья, или неработающая. Предлагаю территорию определить границами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Они у нас установлены Решением Думы от 24.06.2010 № 49 50% и жителей наши помещения позволяют собрать в любую погоду.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45 ФЗ от 20.03.2025 N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ЗЗ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-ФЗ "Об общих принципах организации местного самоуправления в единой системе публичной власти" вопросом</w:t>
            </w:r>
            <w:r w:rsidR="008E1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схода предусматривает введение и использование средств самообложения граждан. Мы эту перспективную возможность в Уставе почему-то игнорируем. Это неправильно. Предлагаю исправить.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изложенном виде это про 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дохлую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лошадь, которую раньше звали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Какова юридическая сила принятых на собрании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решений, каково значение принятым ими инициативных проектов под которые они готовы выделить 10, 50 или 100% сре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их реализации.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Подробненько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описали бюрократические фантики, а про реальные смыслы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пустота и имитация.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Потому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Азове и не работает. Предлагаю исправить.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Предлагается, в соответствии со ст. 47 Федерального закона от 20.03.2025 N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ЗЗ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-ФЗ "Об общих принципах организации местного самоуправления в единой системе публичной власти" 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Устава изложить в редакции: «Публичные слушания могут проводиться на всей территории города Азова для обсуждения с участием жителей города Азова проектов муниципальных правовых актов по вопросам непосредственного обеспечения жизнедеятельности населения.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Предлагается, в соответствии с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spellEnd"/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47 Федерального закона от 20.03.2025 N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ЗЗ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-ФЗ "Об общих принципах организации местного самоуправления в единой системе публичной власти» дополнить ст. 17 проекта Устава дополнительным пунктом в следующей редакции: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публичных слушаниях имеют право участвовать жители города Азова, обладающие избирательным правом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Статью дополнить цензом возрастной дееспособности и изложить в следующей редакции: «В ходатайстве инициативной группы о проведении</w:t>
            </w:r>
            <w:r w:rsidR="008E1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 слушаний должны быть указаны фамилия, имя, отчество, возраст, адрес места жительства каждого члена инициативной группы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,...</w:t>
            </w:r>
            <w:proofErr w:type="gramEnd"/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Следующие правки в ст. 18 и 19 предлагаются исходя из уже заложенной авторами идеи, что право участия в обсуждении и голосовании по инициативам принадлежит исключительно жителям только той территории города, где они прописаны. Т.е. жители 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Западного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допускаются к обсуждению и голосованию по инициативам в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Красногоровке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 при этом город у нас общий.</w:t>
            </w:r>
          </w:p>
          <w:p w:rsid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согласен, что так правильно. Вероятно, сама такая концепция требует отдельного обсуждения. Если город у нас один на всех, и мы все за него, за него, то и ст. 18 и 19 должны будут изменены соответствующим образом. Возможно, стоит цену голоса установить разную, исходя из места регистрации горожанина? Например, в акционерном обществе есть обычные, а есть привилегированные голоса. Применить такую аналогию права.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Статью дополнить цензом психической дееспособности, изложив в следующей редакции: «В собрании граждан, проводимом на территории города Азова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 города Азова, обладающие избирательным правом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2. Статьи 19 дополнить цензом оседлости и психической дееспособности, изложив в следующей редакции: «В опросе граждан имеют право участвовать лица, зарегистрированные по месту жительства в городе Азове, обладающие избирательным правом. В опросе граждан по вопросу выявления мнения граждан о поддержке инициативного проекта вправе участвовать обладающие избирательным правом лица, зарегистрированные по месту жительства соответствующей территории города Азова, на которой предлагается реализовать инициативный проект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 статьи 19 дополнить цензом оседлости и психической дееспособности, изложив в следующей редакции: «Опрос граждан проводится</w:t>
            </w:r>
            <w:r w:rsidR="008E1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инициативе: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обладающих избирательным правом лиц, зарегистрированных по месту жительства соответствующей территории города Азова, в которых предлагается реализовать инициативный проект, - для выявления мнения граждан о поддержке данного инициативного проекта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 статьи 19 дополнить следующим параграфом, изложив в следующей редакции: «Порядок назначения и проведения опроса граждан определяется настоящим Уставом, решением Азовской городской Думы в соответствии с Областным законом от 28 декабря 2005 года № 436-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3C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местном самоуправлении в Ростовской области».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опроса граждан может использоваться официальный сайт Азовской городской Думы и (или) официальный сайт Администрации города Азова в информационн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телекоммуникационной сети «Интернет». При условии обеспечения достоверности участия в опросе, обладающих избирательным правом лиц, зарегистрированных по месту жительства соответствующей территории города Азова или его части, в которых предлагается реализовать инициативный проект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статьи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 п. 24 ФЗ от 20.03.2025 N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ЗЗ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-ФЗ "Об общих принципах организации местного самоуправления в единой системе публичной власти" объем полномочий временно исполняющего полномочия главы муниципального образования может быть ограничен уставом муниципального образования. Предлагается п. 7 ст. 28 изложить в следующей редакции: «Временно 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полномочия Главы города Азова обладает правами и обязанностями Главы города Азова, за исключением права вносить</w:t>
            </w:r>
            <w:r w:rsidR="008E1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существенные изменения в структуру администрации, а также принимать долгосрочные финансовые обязательства.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Статьей 6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п.8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ФЗ от 7 февраля 2011 г.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 предусмотрено, что право внесения предложений о кандидатурах на должность председателя контрольн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(или)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образования. Предлагается ст. 36 п. 9 изложить в следующей редакции: «Предложения о кандидатурах для назначения на должность председателя Контрольн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счетной палаты города Азова вносятся на рассмотрение в Азовскую городскую Думу Председателем Азовской городской Думы, депутатами Азовской городской Думы - не менее одной трети от установленного числа депутатов Азовской городской Думы, профильной комиссией Азовской городской Думы по бюджету, Главой города Азова.</w:t>
            </w:r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ст.24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Устава Азовская городская Дума состоит из 22 депутатов, избираемых по одномандатным избирательным округам. </w:t>
            </w:r>
            <w:proofErr w:type="spell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Т.о</w:t>
            </w:r>
            <w:proofErr w:type="spell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избрания депутатов по спискам Уставом не предусмотрено. 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Предлагается п. 1 ст. 44 исключить из проекта, как противоречащей п. 2 ст. 24, а п. 2 изложить в следующей</w:t>
            </w:r>
            <w:r w:rsidR="008E1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редакции: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«Депутаты Азовской городской Думы имеют право образовывать депутатские объединения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6C1B0E" w:rsidRPr="006C1B0E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России установлен ГОСТ </w:t>
            </w:r>
            <w:proofErr w:type="gramStart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57725—2017 Национальный стандарт РФ «Деятельность помощников депутатов законодательных</w:t>
            </w:r>
            <w:r w:rsidR="008E1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(представительных) органов субъектов РФ» устанавливающий требования к деятельности помощников депутатов законодательного, в том числе правовой статус, квалификационные требования, должностные обязанности, права и ответственность, порядок планирования и организации их работы.</w:t>
            </w:r>
          </w:p>
          <w:p w:rsidR="006C1B0E" w:rsidRPr="00302EBF" w:rsidRDefault="006C1B0E" w:rsidP="006C1B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Предлагается следующая редакция статьи 48 Депутаты Азовской городской Думы, вправе иметь помощников. Число помощников депутата, их права и обязанности, а также возможность их работы по трудовому договору определяются нормативным правовым актом Азовской городской Думы и Национальным стандартом РФ ««Деятельность помощников депутатов законодательных (представительных) органов субъектов РФ».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2EBF" w:rsidRDefault="008E1F4F" w:rsidP="0035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E1F4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Считать поступившие предложения целесообразными для учета и рассмотрения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постоянной комиссией по </w:t>
            </w:r>
            <w:r w:rsidRPr="005F06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вопросам местного самоуправления, работе с общественными организациями, политическими партиями и правопорядку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Азовской городской Думы.</w:t>
            </w:r>
          </w:p>
        </w:tc>
      </w:tr>
    </w:tbl>
    <w:p w:rsidR="00090A3C" w:rsidRPr="00090A3C" w:rsidRDefault="00090A3C" w:rsidP="0009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3C" w:rsidRPr="00090A3C" w:rsidRDefault="00090A3C" w:rsidP="0009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A3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Аргументированные рекомендации организатора публичных слушаний по результатам проведенных публичных слушаний:</w:t>
      </w:r>
      <w:r w:rsidR="008E1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F4F" w:rsidRPr="008E1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поступившие предложения целесообразными для учета и рассмотрения постоянной комиссией по вопросам местного самоуправления, работе с общественными организациями, политическими партиями и право</w:t>
      </w:r>
      <w:r w:rsidR="008E1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Азовской городской Думы</w:t>
      </w:r>
      <w:r w:rsidR="005F06B9" w:rsidRPr="005F0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A3C" w:rsidRPr="00090A3C" w:rsidRDefault="00090A3C" w:rsidP="00090A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90A3C">
        <w:rPr>
          <w:rFonts w:ascii="Times New Roman" w:eastAsia="Times New Roman" w:hAnsi="Times New Roman" w:cs="Times New Roman"/>
          <w:lang w:eastAsia="ru-RU"/>
        </w:rPr>
        <w:t>(целесообразность (нецелесообразность) учета внесенных участниками предложений и замечаний)</w:t>
      </w:r>
    </w:p>
    <w:p w:rsidR="00C21258" w:rsidRDefault="00C21258" w:rsidP="00C21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21258" w:rsidRPr="00C21258" w:rsidRDefault="00C21258" w:rsidP="00C21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Решение</w:t>
      </w:r>
      <w:r w:rsidRPr="00C2125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публичных слушаний: </w:t>
      </w:r>
    </w:p>
    <w:p w:rsidR="00090A3C" w:rsidRDefault="00C21258" w:rsidP="00C212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125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«Одобрить и рекомендовать Азовской городской Думе расс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мотреть данный  проект решения»;</w:t>
      </w:r>
    </w:p>
    <w:p w:rsidR="00C21258" w:rsidRPr="00090A3C" w:rsidRDefault="00C21258" w:rsidP="00C212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A3C" w:rsidRPr="00090A3C" w:rsidRDefault="00090A3C" w:rsidP="00090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90A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организатора публичных слушаний по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езультатам публичных слушаний:</w:t>
      </w:r>
      <w:r w:rsidR="005F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6B9" w:rsidRPr="005F0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Одобрить и рекомендовать Азовской городской Думе рассмотреть данный  проект решения</w:t>
      </w:r>
      <w:r w:rsidR="00C21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1258" w:rsidRPr="00C21258" w:rsidRDefault="00C21258" w:rsidP="00C21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125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090A3C" w:rsidRPr="00090A3C" w:rsidRDefault="00090A3C" w:rsidP="00090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Организатор публичных слушаний </w:t>
      </w:r>
      <w:r w:rsidR="005F06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постоянная комиссия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Азовской городской Думы</w:t>
      </w:r>
      <w:r w:rsidR="005F06B9" w:rsidRPr="005F06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F06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вопросам местного самоуправления, работе с общественными организациями, политическими партиями и правопорядку</w:t>
      </w:r>
      <w:r w:rsidRPr="00090A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090A3C" w:rsidRDefault="00090A3C" w:rsidP="00090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0A3C" w:rsidRDefault="00090A3C" w:rsidP="00090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8E1F4F" w:rsidRDefault="008E1F4F" w:rsidP="00090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E1F4F" w:rsidRDefault="008E1F4F" w:rsidP="008E1F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Глава города Азова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И. В. Головнев</w:t>
      </w:r>
    </w:p>
    <w:p w:rsidR="008E1F4F" w:rsidRDefault="008E1F4F" w:rsidP="008E1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E1F4F" w:rsidRDefault="008E1F4F" w:rsidP="008E1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E1F4F" w:rsidRDefault="008E1F4F" w:rsidP="008E1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E1F4F" w:rsidRDefault="008E1F4F" w:rsidP="00EB7F7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1024A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Председательствующий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</w:p>
    <w:p w:rsidR="008E1F4F" w:rsidRPr="001024A5" w:rsidRDefault="008E1F4F" w:rsidP="00EB7F7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Председатель Азовской городской Думы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    Е. В.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Карасев </w:t>
      </w:r>
    </w:p>
    <w:p w:rsidR="001C3819" w:rsidRPr="008E1F4F" w:rsidRDefault="001C3819">
      <w:pPr>
        <w:rPr>
          <w:lang w:val="x-none"/>
        </w:rPr>
      </w:pPr>
    </w:p>
    <w:sectPr w:rsidR="001C3819" w:rsidRPr="008E1F4F" w:rsidSect="00090A3C">
      <w:headerReference w:type="default" r:id="rId8"/>
      <w:footerReference w:type="default" r:id="rId9"/>
      <w:pgSz w:w="11906" w:h="16838" w:code="9"/>
      <w:pgMar w:top="709" w:right="851" w:bottom="1134" w:left="130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8B" w:rsidRDefault="005F06B9">
      <w:pPr>
        <w:spacing w:after="0" w:line="240" w:lineRule="auto"/>
      </w:pPr>
      <w:r>
        <w:separator/>
      </w:r>
    </w:p>
  </w:endnote>
  <w:endnote w:type="continuationSeparator" w:id="0">
    <w:p w:rsidR="004B598B" w:rsidRDefault="005F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B7" w:rsidRDefault="008F6883">
    <w:pPr>
      <w:pStyle w:val="a3"/>
      <w:jc w:val="right"/>
    </w:pPr>
  </w:p>
  <w:p w:rsidR="001203B7" w:rsidRDefault="008F68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8B" w:rsidRDefault="005F06B9">
      <w:pPr>
        <w:spacing w:after="0" w:line="240" w:lineRule="auto"/>
      </w:pPr>
      <w:r>
        <w:separator/>
      </w:r>
    </w:p>
  </w:footnote>
  <w:footnote w:type="continuationSeparator" w:id="0">
    <w:p w:rsidR="004B598B" w:rsidRDefault="005F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639496"/>
      <w:docPartObj>
        <w:docPartGallery w:val="Page Numbers (Top of Page)"/>
        <w:docPartUnique/>
      </w:docPartObj>
    </w:sdtPr>
    <w:sdtContent>
      <w:p w:rsidR="008E1F4F" w:rsidRDefault="008E1F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F79">
          <w:rPr>
            <w:noProof/>
          </w:rPr>
          <w:t>6</w:t>
        </w:r>
        <w:r>
          <w:fldChar w:fldCharType="end"/>
        </w:r>
      </w:p>
    </w:sdtContent>
  </w:sdt>
  <w:p w:rsidR="008E1F4F" w:rsidRDefault="008E1F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97192"/>
    <w:multiLevelType w:val="multilevel"/>
    <w:tmpl w:val="7AC69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3C"/>
    <w:rsid w:val="00012C59"/>
    <w:rsid w:val="0002228B"/>
    <w:rsid w:val="00090A3C"/>
    <w:rsid w:val="000937F8"/>
    <w:rsid w:val="000A006F"/>
    <w:rsid w:val="000E5DC8"/>
    <w:rsid w:val="000E66AC"/>
    <w:rsid w:val="000F5918"/>
    <w:rsid w:val="001040EB"/>
    <w:rsid w:val="00125848"/>
    <w:rsid w:val="00154A13"/>
    <w:rsid w:val="001563BE"/>
    <w:rsid w:val="001C3074"/>
    <w:rsid w:val="001C3819"/>
    <w:rsid w:val="001D4A74"/>
    <w:rsid w:val="00212295"/>
    <w:rsid w:val="002334A0"/>
    <w:rsid w:val="00235424"/>
    <w:rsid w:val="00241F8C"/>
    <w:rsid w:val="002700C4"/>
    <w:rsid w:val="0027549E"/>
    <w:rsid w:val="00277247"/>
    <w:rsid w:val="00282074"/>
    <w:rsid w:val="002A357E"/>
    <w:rsid w:val="002A66DB"/>
    <w:rsid w:val="002A69C4"/>
    <w:rsid w:val="00300D98"/>
    <w:rsid w:val="00302EBF"/>
    <w:rsid w:val="0034059A"/>
    <w:rsid w:val="00341B8B"/>
    <w:rsid w:val="003552DE"/>
    <w:rsid w:val="00391EC6"/>
    <w:rsid w:val="00394B9F"/>
    <w:rsid w:val="003B098F"/>
    <w:rsid w:val="003E4995"/>
    <w:rsid w:val="003E7429"/>
    <w:rsid w:val="003F144E"/>
    <w:rsid w:val="003F72A1"/>
    <w:rsid w:val="004367AE"/>
    <w:rsid w:val="0045273F"/>
    <w:rsid w:val="00480289"/>
    <w:rsid w:val="004804CB"/>
    <w:rsid w:val="004900F9"/>
    <w:rsid w:val="00495B56"/>
    <w:rsid w:val="004B598B"/>
    <w:rsid w:val="004C45D0"/>
    <w:rsid w:val="004C6D6C"/>
    <w:rsid w:val="004D64CC"/>
    <w:rsid w:val="004E34D8"/>
    <w:rsid w:val="004E6013"/>
    <w:rsid w:val="0055277E"/>
    <w:rsid w:val="00556C34"/>
    <w:rsid w:val="00572408"/>
    <w:rsid w:val="00582E59"/>
    <w:rsid w:val="0059052D"/>
    <w:rsid w:val="005B7F7D"/>
    <w:rsid w:val="005D48E0"/>
    <w:rsid w:val="005E4EFD"/>
    <w:rsid w:val="005F06B9"/>
    <w:rsid w:val="0061566C"/>
    <w:rsid w:val="006162A1"/>
    <w:rsid w:val="0064277E"/>
    <w:rsid w:val="00643A96"/>
    <w:rsid w:val="00653369"/>
    <w:rsid w:val="006538EB"/>
    <w:rsid w:val="006552FC"/>
    <w:rsid w:val="00671DE0"/>
    <w:rsid w:val="006914EE"/>
    <w:rsid w:val="00697869"/>
    <w:rsid w:val="006C1B0E"/>
    <w:rsid w:val="006E060A"/>
    <w:rsid w:val="006E699C"/>
    <w:rsid w:val="006F22DB"/>
    <w:rsid w:val="00703718"/>
    <w:rsid w:val="00726768"/>
    <w:rsid w:val="00741B4F"/>
    <w:rsid w:val="0078691E"/>
    <w:rsid w:val="00792518"/>
    <w:rsid w:val="007A1243"/>
    <w:rsid w:val="007F2920"/>
    <w:rsid w:val="00801446"/>
    <w:rsid w:val="00843176"/>
    <w:rsid w:val="008840BB"/>
    <w:rsid w:val="008A1F31"/>
    <w:rsid w:val="008D653D"/>
    <w:rsid w:val="008E1F4F"/>
    <w:rsid w:val="008F66C2"/>
    <w:rsid w:val="008F6883"/>
    <w:rsid w:val="00906995"/>
    <w:rsid w:val="0091072C"/>
    <w:rsid w:val="00917DF6"/>
    <w:rsid w:val="00971FA8"/>
    <w:rsid w:val="00972639"/>
    <w:rsid w:val="00995BBA"/>
    <w:rsid w:val="00997981"/>
    <w:rsid w:val="009B4859"/>
    <w:rsid w:val="009B49AF"/>
    <w:rsid w:val="009C25B0"/>
    <w:rsid w:val="009D3F9D"/>
    <w:rsid w:val="00A160A4"/>
    <w:rsid w:val="00A26870"/>
    <w:rsid w:val="00A549D1"/>
    <w:rsid w:val="00A6265F"/>
    <w:rsid w:val="00A71AD0"/>
    <w:rsid w:val="00A83C63"/>
    <w:rsid w:val="00A92106"/>
    <w:rsid w:val="00AD7E23"/>
    <w:rsid w:val="00AF5481"/>
    <w:rsid w:val="00B07D36"/>
    <w:rsid w:val="00B849E9"/>
    <w:rsid w:val="00BC6543"/>
    <w:rsid w:val="00BE5739"/>
    <w:rsid w:val="00BF08B7"/>
    <w:rsid w:val="00BF44F7"/>
    <w:rsid w:val="00BF5BCD"/>
    <w:rsid w:val="00C21258"/>
    <w:rsid w:val="00C21F8E"/>
    <w:rsid w:val="00C260C4"/>
    <w:rsid w:val="00C3049B"/>
    <w:rsid w:val="00C56633"/>
    <w:rsid w:val="00C861C4"/>
    <w:rsid w:val="00C95368"/>
    <w:rsid w:val="00CA01B9"/>
    <w:rsid w:val="00CA3CE0"/>
    <w:rsid w:val="00CB7AF0"/>
    <w:rsid w:val="00CE441D"/>
    <w:rsid w:val="00CE6CA1"/>
    <w:rsid w:val="00D20506"/>
    <w:rsid w:val="00D80103"/>
    <w:rsid w:val="00D85F60"/>
    <w:rsid w:val="00D9466C"/>
    <w:rsid w:val="00DB077D"/>
    <w:rsid w:val="00DC22F2"/>
    <w:rsid w:val="00DD2469"/>
    <w:rsid w:val="00DD32C4"/>
    <w:rsid w:val="00DD4851"/>
    <w:rsid w:val="00DE43F1"/>
    <w:rsid w:val="00DE6DD5"/>
    <w:rsid w:val="00E15043"/>
    <w:rsid w:val="00E22493"/>
    <w:rsid w:val="00E767C2"/>
    <w:rsid w:val="00E81C9C"/>
    <w:rsid w:val="00E955C6"/>
    <w:rsid w:val="00E96BC1"/>
    <w:rsid w:val="00E9713E"/>
    <w:rsid w:val="00EB4544"/>
    <w:rsid w:val="00EB7F79"/>
    <w:rsid w:val="00EE33B4"/>
    <w:rsid w:val="00EE3D0B"/>
    <w:rsid w:val="00EE7BEA"/>
    <w:rsid w:val="00F27185"/>
    <w:rsid w:val="00F307A3"/>
    <w:rsid w:val="00F86C9F"/>
    <w:rsid w:val="00FB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0A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90A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_"/>
    <w:basedOn w:val="a0"/>
    <w:link w:val="3"/>
    <w:rsid w:val="00302EB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5"/>
    <w:rsid w:val="00302EBF"/>
    <w:pPr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header"/>
    <w:basedOn w:val="a"/>
    <w:link w:val="a7"/>
    <w:uiPriority w:val="99"/>
    <w:unhideWhenUsed/>
    <w:rsid w:val="008E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1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0A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90A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_"/>
    <w:basedOn w:val="a0"/>
    <w:link w:val="3"/>
    <w:rsid w:val="00302EB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5"/>
    <w:rsid w:val="00302EBF"/>
    <w:pPr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header"/>
    <w:basedOn w:val="a"/>
    <w:link w:val="a7"/>
    <w:uiPriority w:val="99"/>
    <w:unhideWhenUsed/>
    <w:rsid w:val="008E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3</cp:revision>
  <cp:lastPrinted>2026-03-04T08:27:00Z</cp:lastPrinted>
  <dcterms:created xsi:type="dcterms:W3CDTF">2026-03-04T08:24:00Z</dcterms:created>
  <dcterms:modified xsi:type="dcterms:W3CDTF">2026-03-04T12:28:00Z</dcterms:modified>
</cp:coreProperties>
</file>