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709" w:left="0"/>
        <w:rPr>
          <w:b w:val="1"/>
          <w:sz w:val="28"/>
        </w:rPr>
      </w:pPr>
    </w:p>
    <w:p w14:paraId="02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3000000">
      <w:pPr>
        <w:spacing w:line="240" w:lineRule="exact"/>
        <w:ind w:firstLine="709" w:left="0"/>
        <w:jc w:val="center"/>
        <w:rPr>
          <w:b w:val="1"/>
          <w:sz w:val="28"/>
        </w:rPr>
      </w:pPr>
    </w:p>
    <w:p w14:paraId="04000000">
      <w:pPr>
        <w:pStyle w:val="Style_1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До 31 августа 2026 г. включительно продлены особенности ввоза в РФ из государств - членов ЕАЭС товаров без документов, подтверждающих их статус как товаров ЕАЭС, без маркировки и нанесения информации, предусмотренных требованиями права ЕАЭС или законодательства РФ</w:t>
      </w:r>
    </w:p>
    <w:p w14:paraId="05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fldChar w:fldCharType="begin"/>
      </w:r>
      <w:r>
        <w:rPr>
          <w:rStyle w:val="Style_1_ch"/>
          <w:b w:val="0"/>
          <w:color w:val="333333"/>
          <w:sz w:val="28"/>
        </w:rPr>
        <w:instrText>HYPERLINK "https://www.consultant.ru/document/cons_doc_LAW_535503/"</w:instrText>
      </w:r>
      <w:r>
        <w:rPr>
          <w:rStyle w:val="Style_1_ch"/>
          <w:b w:val="0"/>
          <w:color w:val="333333"/>
          <w:sz w:val="28"/>
        </w:rPr>
        <w:fldChar w:fldCharType="separate"/>
      </w:r>
      <w:r>
        <w:rPr>
          <w:rStyle w:val="Style_1_ch"/>
          <w:b w:val="0"/>
          <w:color w:val="333333"/>
          <w:sz w:val="28"/>
        </w:rPr>
        <w:t>Указом Президента РФ от 30.05.2026 № 362 внесены изменения в Указ Президента Российской Федерации от 20.04.2026</w:t>
      </w:r>
      <w:r>
        <w:rPr>
          <w:rStyle w:val="Style_1_ch"/>
          <w:b w:val="0"/>
          <w:color w:val="333333"/>
          <w:sz w:val="28"/>
        </w:rPr>
        <w:fldChar w:fldCharType="end"/>
      </w:r>
      <w:r>
        <w:rPr>
          <w:rStyle w:val="Style_1_ch"/>
          <w:b w:val="0"/>
          <w:color w:val="333333"/>
          <w:sz w:val="28"/>
        </w:rPr>
        <w:t xml:space="preserve"> №</w:t>
      </w:r>
      <w:r>
        <w:rPr>
          <w:rStyle w:val="Style_1_ch"/>
          <w:b w:val="0"/>
          <w:color w:val="333333"/>
          <w:sz w:val="28"/>
        </w:rPr>
        <w:fldChar w:fldCharType="begin"/>
      </w:r>
      <w:r>
        <w:rPr>
          <w:rStyle w:val="Style_1_ch"/>
          <w:b w:val="0"/>
          <w:color w:val="333333"/>
          <w:sz w:val="28"/>
        </w:rPr>
        <w:instrText>HYPERLINK "https://www.consultant.ru/document/cons_doc_LAW_535503/"</w:instrText>
      </w:r>
      <w:r>
        <w:rPr>
          <w:rStyle w:val="Style_1_ch"/>
          <w:b w:val="0"/>
          <w:color w:val="333333"/>
          <w:sz w:val="28"/>
        </w:rPr>
        <w:fldChar w:fldCharType="separate"/>
      </w:r>
      <w:r>
        <w:rPr>
          <w:rStyle w:val="Style_1_ch"/>
          <w:b w:val="0"/>
          <w:color w:val="333333"/>
          <w:sz w:val="28"/>
        </w:rPr>
        <w:t xml:space="preserve"> 261 «Об особенностях таможенного регулирования на государственной границе Российской Федерации</w:t>
      </w:r>
      <w:r>
        <w:rPr>
          <w:rStyle w:val="Style_1_ch"/>
          <w:b w:val="0"/>
          <w:color w:val="333333"/>
          <w:sz w:val="28"/>
        </w:rPr>
        <w:fldChar w:fldCharType="end"/>
      </w:r>
      <w:r>
        <w:rPr>
          <w:rStyle w:val="Style_1_ch"/>
          <w:b w:val="0"/>
          <w:color w:val="333333"/>
          <w:sz w:val="28"/>
        </w:rPr>
        <w:t>», в соответствии с которыми р</w:t>
      </w:r>
      <w:r>
        <w:rPr>
          <w:rStyle w:val="Style_1_ch"/>
          <w:b w:val="0"/>
          <w:color w:val="333333"/>
          <w:sz w:val="28"/>
        </w:rPr>
        <w:t>оссийские юридические лица и российские физические лица, зарегистрированные в качестве индивидуальных предпринимателей (далее - получатели товаров), вправе задекларировать товар в порядке, установленном статьей 104 «Таможенное декларирование и совершение таможенных операций в отношении товаров, которые незаконно перемещены через таможенную границу Союза либо выпуск которых не производился" Федерального закона от 03.08.2018 № 289-ФЗ «О таможенном регулировании в Российской Федерации и о внесении изменений в отдельные законодательные акты Российской Федерации», при соблюдении следующих условий:</w:t>
      </w:r>
    </w:p>
    <w:p w14:paraId="06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- перевозка</w:t>
      </w:r>
      <w:r>
        <w:rPr>
          <w:rStyle w:val="Style_1_ch"/>
          <w:b w:val="0"/>
          <w:color w:val="333333"/>
          <w:sz w:val="28"/>
        </w:rPr>
        <w:t xml:space="preserve"> ввезенных товаров до складов временного хранения, определенных таможенными органами РФ; </w:t>
      </w:r>
    </w:p>
    <w:p w14:paraId="07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 xml:space="preserve">- </w:t>
      </w:r>
      <w:r>
        <w:rPr>
          <w:rStyle w:val="Style_1_ch"/>
          <w:b w:val="0"/>
          <w:color w:val="333333"/>
          <w:sz w:val="28"/>
        </w:rPr>
        <w:t>размещение</w:t>
      </w:r>
      <w:r>
        <w:rPr>
          <w:rStyle w:val="Style_1_ch"/>
          <w:b w:val="0"/>
          <w:color w:val="333333"/>
          <w:sz w:val="28"/>
        </w:rPr>
        <w:t xml:space="preserve"> ввезенных товаров на складах временного хранения; </w:t>
      </w:r>
    </w:p>
    <w:p w14:paraId="08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 xml:space="preserve">- </w:t>
      </w:r>
      <w:r>
        <w:rPr>
          <w:rStyle w:val="Style_1_ch"/>
          <w:b w:val="0"/>
          <w:color w:val="333333"/>
          <w:sz w:val="28"/>
        </w:rPr>
        <w:t>маркировка</w:t>
      </w:r>
      <w:r>
        <w:rPr>
          <w:rStyle w:val="Style_1_ch"/>
          <w:b w:val="0"/>
          <w:color w:val="333333"/>
          <w:sz w:val="28"/>
        </w:rPr>
        <w:t xml:space="preserve"> ввезенных товаров и (или) нанесение на них информации в соответствии с требованиями законодательства РФ.</w:t>
      </w:r>
    </w:p>
    <w:p w14:paraId="09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 xml:space="preserve">Получатели товаров информируют </w:t>
      </w:r>
      <w:r>
        <w:rPr>
          <w:rStyle w:val="Style_1_ch"/>
          <w:b w:val="0"/>
          <w:color w:val="333333"/>
          <w:sz w:val="28"/>
        </w:rPr>
        <w:t>Роспотребнадзор</w:t>
      </w:r>
      <w:r>
        <w:rPr>
          <w:rStyle w:val="Style_1_ch"/>
          <w:b w:val="0"/>
          <w:color w:val="333333"/>
          <w:sz w:val="28"/>
        </w:rPr>
        <w:t xml:space="preserve"> о вводе в оборот ввезенных товаров после их маркировки и (или) нанесения на них информации, предусмотренных требованиями законодательства РФ.</w:t>
      </w:r>
    </w:p>
    <w:p w14:paraId="0A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>Ввоз в РФ товаров, задекларированных в соответствии с указанными требованиями, не является несоблюдением обязанностей в области таможенного дела, а также обязанностей по маркировке товаров и (или) нанесению на них информации в соответствии с требованиями законодательства РФ.</w:t>
      </w:r>
    </w:p>
    <w:p w14:paraId="0B000000">
      <w:pPr>
        <w:pStyle w:val="Style_1"/>
        <w:spacing w:after="0" w:before="0" w:line="300" w:lineRule="exact"/>
        <w:ind w:firstLine="567" w:left="0"/>
        <w:jc w:val="both"/>
        <w:rPr>
          <w:b w:val="0"/>
          <w:color w:val="333333"/>
          <w:sz w:val="28"/>
        </w:rPr>
      </w:pPr>
      <w:r>
        <w:rPr>
          <w:rStyle w:val="Style_1_ch"/>
          <w:b w:val="0"/>
          <w:color w:val="333333"/>
          <w:sz w:val="28"/>
        </w:rPr>
        <w:t xml:space="preserve">Указанные особенности не распространяются на товары, классифицируемые в группах 01 - 04, 06 - 12, 15 - 22, 24, 30, 36, 93, позициях 2936, 3813 00 000 0, 3827, 8517 61 000, 8530, 8540 71 000, 8540 79 000 1, 8543 10 000 0, 8543 20 000 0, 8804 </w:t>
      </w:r>
      <w:r>
        <w:rPr>
          <w:rStyle w:val="Style_1_ch"/>
          <w:b w:val="0"/>
          <w:color w:val="333333"/>
          <w:sz w:val="28"/>
        </w:rPr>
        <w:t xml:space="preserve">00 000 0, 8806, 9011, 9012, 9018, 9019, 9021, 9022, 9503 00 ТН ВЭД ЕАЭС, а также на наркотические средства, психотропные вещества и их </w:t>
      </w:r>
      <w:r>
        <w:rPr>
          <w:rStyle w:val="Style_1_ch"/>
          <w:b w:val="0"/>
          <w:color w:val="333333"/>
          <w:sz w:val="28"/>
        </w:rPr>
        <w:t>прекурсоры</w:t>
      </w:r>
      <w:r>
        <w:rPr>
          <w:rStyle w:val="Style_1_ch"/>
          <w:b w:val="0"/>
          <w:color w:val="333333"/>
          <w:sz w:val="28"/>
        </w:rPr>
        <w:t>, сильнодействующие и ядовитые вещества, оборот которых ограничен на территории РФ.</w:t>
      </w:r>
    </w:p>
    <w:p w14:paraId="0C000000">
      <w:pPr>
        <w:ind/>
        <w:jc w:val="both"/>
        <w:rPr>
          <w:sz w:val="28"/>
        </w:rPr>
      </w:pPr>
      <w:bookmarkStart w:id="1" w:name="_GoBack"/>
      <w:bookmarkEnd w:id="1"/>
    </w:p>
    <w:p w14:paraId="0D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0F000000">
      <w:pPr>
        <w:spacing w:line="240" w:lineRule="exact"/>
        <w:ind/>
        <w:jc w:val="both"/>
        <w:rPr>
          <w:sz w:val="28"/>
        </w:rPr>
      </w:pPr>
    </w:p>
    <w:p w14:paraId="10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851" w:footer="709" w:gutter="0" w:header="709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spacing w:afterAutospacing="on" w:beforeAutospacing="on"/>
      <w:ind/>
    </w:pPr>
  </w:style>
  <w:style w:styleId="Style_7_ch" w:type="character">
    <w:name w:val="Normal (Web)"/>
    <w:basedOn w:val="Style_2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ot-docs-page__document-info-date_muted"/>
    <w:link w:val="Style_11_ch"/>
  </w:style>
  <w:style w:styleId="Style_11_ch" w:type="character">
    <w:name w:val="hot-docs-page__document-info-date_muted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document-info-data"/>
    <w:link w:val="Style_16_ch"/>
  </w:style>
  <w:style w:styleId="Style_16_ch" w:type="character">
    <w:name w:val="document-info-data"/>
    <w:link w:val="Style_16"/>
  </w:style>
  <w:style w:styleId="Style_17" w:type="paragraph">
    <w:name w:val="Hyperlink"/>
    <w:basedOn w:val="Style_14"/>
    <w:link w:val="Style_17_ch"/>
    <w:rPr>
      <w:color w:val="0000FF"/>
      <w:u w:val="single"/>
    </w:rPr>
  </w:style>
  <w:style w:styleId="Style_17_ch" w:type="character">
    <w:name w:val="Hyperlink"/>
    <w:basedOn w:val="Style_14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2026-06-10T08:32:20Z</dcterms:modified>
</cp:coreProperties>
</file>