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421C8" w:rsidRPr="00026C86" w:rsidRDefault="00B421C8" w:rsidP="00743609">
      <w:pPr>
        <w:pStyle w:val="a3"/>
        <w:ind w:firstLine="708"/>
        <w:jc w:val="both"/>
        <w:rPr>
          <w:rFonts w:ascii="Times New Roman" w:hAnsi="Times New Roman"/>
          <w:b/>
          <w:sz w:val="28"/>
          <w:szCs w:val="28"/>
        </w:rPr>
      </w:pPr>
      <w:r w:rsidRPr="00026C86">
        <w:rPr>
          <w:rFonts w:ascii="Times New Roman" w:hAnsi="Times New Roman"/>
          <w:b/>
          <w:sz w:val="28"/>
          <w:szCs w:val="28"/>
        </w:rPr>
        <w:t>Социальная политика.</w:t>
      </w:r>
    </w:p>
    <w:p w:rsidR="00AA55F2" w:rsidRPr="00026C86" w:rsidRDefault="00AA55F2" w:rsidP="00743609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026C86">
        <w:rPr>
          <w:rFonts w:ascii="Times New Roman" w:hAnsi="Times New Roman"/>
          <w:sz w:val="28"/>
          <w:szCs w:val="28"/>
        </w:rPr>
        <w:t xml:space="preserve">Социальная политика города направлена на улучшение качества жизни населения города. </w:t>
      </w:r>
      <w:r w:rsidR="00026C86" w:rsidRPr="00026C86">
        <w:rPr>
          <w:rFonts w:ascii="Times New Roman" w:hAnsi="Times New Roman"/>
          <w:sz w:val="28"/>
          <w:szCs w:val="28"/>
        </w:rPr>
        <w:t>Более 70</w:t>
      </w:r>
      <w:r w:rsidRPr="00026C86">
        <w:rPr>
          <w:rFonts w:ascii="Times New Roman" w:hAnsi="Times New Roman"/>
          <w:sz w:val="28"/>
          <w:szCs w:val="28"/>
        </w:rPr>
        <w:t>% расходов бюджета города Азова направляется на реализацию социальных вопросов.</w:t>
      </w:r>
    </w:p>
    <w:p w:rsidR="00C74B9A" w:rsidRPr="00026C86" w:rsidRDefault="00C74B9A" w:rsidP="00743609">
      <w:pPr>
        <w:pStyle w:val="a3"/>
        <w:ind w:firstLine="708"/>
        <w:jc w:val="both"/>
        <w:rPr>
          <w:rFonts w:ascii="Times New Roman" w:hAnsi="Times New Roman"/>
          <w:b/>
          <w:sz w:val="28"/>
          <w:szCs w:val="28"/>
          <w:highlight w:val="yellow"/>
        </w:rPr>
      </w:pPr>
    </w:p>
    <w:p w:rsidR="00AA55F2" w:rsidRPr="003F587C" w:rsidRDefault="00AA55F2" w:rsidP="00743609">
      <w:pPr>
        <w:pStyle w:val="a3"/>
        <w:ind w:firstLine="708"/>
        <w:jc w:val="both"/>
        <w:rPr>
          <w:rFonts w:ascii="Times New Roman" w:hAnsi="Times New Roman"/>
          <w:b/>
          <w:sz w:val="28"/>
          <w:szCs w:val="28"/>
        </w:rPr>
      </w:pPr>
      <w:r w:rsidRPr="003F587C">
        <w:rPr>
          <w:rFonts w:ascii="Times New Roman" w:hAnsi="Times New Roman"/>
          <w:b/>
          <w:sz w:val="28"/>
          <w:szCs w:val="28"/>
        </w:rPr>
        <w:t>Здравоохранение</w:t>
      </w:r>
    </w:p>
    <w:p w:rsidR="003F587C" w:rsidRPr="003F587C" w:rsidRDefault="003F587C" w:rsidP="00743609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3F587C">
        <w:rPr>
          <w:rFonts w:ascii="Times New Roman" w:hAnsi="Times New Roman"/>
          <w:sz w:val="28"/>
          <w:szCs w:val="28"/>
        </w:rPr>
        <w:t>В 2025 году реализован комплекс мероприятий, в результате которых:</w:t>
      </w:r>
    </w:p>
    <w:p w:rsidR="003F587C" w:rsidRPr="003F587C" w:rsidRDefault="003F587C" w:rsidP="00743609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3F587C">
        <w:rPr>
          <w:rFonts w:ascii="Times New Roman" w:hAnsi="Times New Roman"/>
          <w:sz w:val="28"/>
          <w:szCs w:val="28"/>
        </w:rPr>
        <w:t>- благодаря проводимым профилактическим мероприятиям в 2025 году удалось достичь плановый показатель «Смертность от всех причин» 11,9 число умерших на 1000 человек населения;</w:t>
      </w:r>
    </w:p>
    <w:p w:rsidR="003F587C" w:rsidRPr="003F587C" w:rsidRDefault="003F587C" w:rsidP="00743609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3F587C">
        <w:rPr>
          <w:rFonts w:ascii="Times New Roman" w:hAnsi="Times New Roman"/>
          <w:sz w:val="28"/>
          <w:szCs w:val="28"/>
        </w:rPr>
        <w:t xml:space="preserve">- уровень охвата граждан профилактическими медицинскими осмотрами составил 75,0%, что выше уровня прошлого года на 2,4 пункта; </w:t>
      </w:r>
    </w:p>
    <w:p w:rsidR="003F587C" w:rsidRPr="003F587C" w:rsidRDefault="003F587C" w:rsidP="00743609">
      <w:pPr>
        <w:tabs>
          <w:tab w:val="left" w:leader="underscore" w:pos="4143"/>
        </w:tabs>
        <w:ind w:right="80" w:firstLine="720"/>
        <w:jc w:val="both"/>
        <w:rPr>
          <w:rStyle w:val="43"/>
          <w:i w:val="0"/>
          <w:iCs/>
          <w:szCs w:val="28"/>
        </w:rPr>
      </w:pPr>
      <w:r w:rsidRPr="003F587C">
        <w:rPr>
          <w:rStyle w:val="43"/>
          <w:i w:val="0"/>
          <w:iCs/>
          <w:szCs w:val="28"/>
        </w:rPr>
        <w:t>- «смертность от болезней системы кровообращения» - фактическое значение – 742,8 число умерших на 100 тыс. человек населения, что выше планового показателя на 1,3%. Неисполнение показателя обусловлено постковидным синдромом, который затрагивает сердечно - сосудистую систему;</w:t>
      </w:r>
    </w:p>
    <w:p w:rsidR="003F587C" w:rsidRPr="003F587C" w:rsidRDefault="003F587C" w:rsidP="00743609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3F587C">
        <w:rPr>
          <w:rFonts w:ascii="Times New Roman" w:hAnsi="Times New Roman"/>
          <w:sz w:val="28"/>
          <w:szCs w:val="28"/>
        </w:rPr>
        <w:t xml:space="preserve">- «смертность от новообразований (в том числе злокачественных») – 221,3 число умерших на 100 тыс. чел. населения, что выше уровня прошлого года на 25,2% (2024 год – 176,8); </w:t>
      </w:r>
    </w:p>
    <w:p w:rsidR="003F587C" w:rsidRPr="003F587C" w:rsidRDefault="003F587C" w:rsidP="00743609">
      <w:pPr>
        <w:pStyle w:val="a3"/>
        <w:ind w:firstLine="708"/>
        <w:jc w:val="both"/>
        <w:rPr>
          <w:rFonts w:ascii="Times New Roman" w:eastAsia="Times New Roman" w:hAnsi="Times New Roman"/>
          <w:sz w:val="28"/>
        </w:rPr>
      </w:pPr>
      <w:r w:rsidRPr="003F587C">
        <w:rPr>
          <w:rFonts w:ascii="Times New Roman" w:eastAsia="Times New Roman" w:hAnsi="Times New Roman"/>
          <w:sz w:val="28"/>
        </w:rPr>
        <w:t>- процент охвата населения профилактическими осмотрами на туберкулез в 2025 году выше установленного показателя и составляет 73,5%, Охват обследованием д</w:t>
      </w:r>
      <w:r>
        <w:rPr>
          <w:rFonts w:ascii="Times New Roman" w:eastAsia="Times New Roman" w:hAnsi="Times New Roman"/>
          <w:sz w:val="28"/>
        </w:rPr>
        <w:t>етского населения составил 100%</w:t>
      </w:r>
      <w:r w:rsidRPr="003F587C">
        <w:rPr>
          <w:rFonts w:ascii="Times New Roman" w:hAnsi="Times New Roman"/>
          <w:sz w:val="28"/>
          <w:szCs w:val="28"/>
        </w:rPr>
        <w:t>;</w:t>
      </w:r>
      <w:r w:rsidRPr="003F587C">
        <w:rPr>
          <w:rFonts w:ascii="Times New Roman" w:eastAsia="Times New Roman" w:hAnsi="Times New Roman"/>
          <w:sz w:val="28"/>
        </w:rPr>
        <w:t xml:space="preserve"> </w:t>
      </w:r>
    </w:p>
    <w:p w:rsidR="003F587C" w:rsidRPr="003F587C" w:rsidRDefault="003F587C" w:rsidP="00743609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3F587C">
        <w:rPr>
          <w:rFonts w:ascii="Times New Roman" w:hAnsi="Times New Roman"/>
          <w:sz w:val="28"/>
          <w:szCs w:val="28"/>
        </w:rPr>
        <w:t xml:space="preserve">- удалось улучшить показатель «смертность от туберкулеза на 100 тыс. населения» - плановое значение 7,9, фактическое значение 2,5; </w:t>
      </w:r>
    </w:p>
    <w:p w:rsidR="003F587C" w:rsidRPr="003F587C" w:rsidRDefault="003F587C" w:rsidP="00743609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3F587C">
        <w:rPr>
          <w:rFonts w:ascii="Times New Roman" w:hAnsi="Times New Roman"/>
          <w:sz w:val="28"/>
          <w:szCs w:val="28"/>
        </w:rPr>
        <w:t xml:space="preserve">- «младенческая смертность» - плановое значение 4,5 случаев на 1000 родившихся живыми, фактическое значение -0; </w:t>
      </w:r>
    </w:p>
    <w:p w:rsidR="003F587C" w:rsidRPr="003F587C" w:rsidRDefault="003F587C" w:rsidP="00743609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3F587C">
        <w:rPr>
          <w:rFonts w:ascii="Times New Roman" w:hAnsi="Times New Roman"/>
          <w:sz w:val="28"/>
          <w:szCs w:val="28"/>
        </w:rPr>
        <w:t>- в 2025 году осуществлялась транспортировка пациентов, страдающих хронической почечной недостаточностью, от места их фактического проживания до места получения медицинской помощи методом заместительной почечной терапии и обратно;</w:t>
      </w:r>
    </w:p>
    <w:p w:rsidR="003F587C" w:rsidRPr="003F587C" w:rsidRDefault="003F587C" w:rsidP="00743609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3F587C">
        <w:rPr>
          <w:rFonts w:ascii="Times New Roman" w:hAnsi="Times New Roman"/>
          <w:sz w:val="28"/>
          <w:szCs w:val="28"/>
        </w:rPr>
        <w:t>- приобретено технологическое оборудование по перечню, согласованному с Министерством здравоохранения Ростовской области;</w:t>
      </w:r>
    </w:p>
    <w:p w:rsidR="003F587C" w:rsidRPr="003F587C" w:rsidRDefault="003F587C" w:rsidP="00743609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3F587C">
        <w:rPr>
          <w:rFonts w:ascii="Times New Roman" w:hAnsi="Times New Roman"/>
          <w:sz w:val="28"/>
          <w:szCs w:val="28"/>
        </w:rPr>
        <w:t>- обеспечено функционирование канала связи для скорой медицинской помощи;</w:t>
      </w:r>
    </w:p>
    <w:p w:rsidR="003F587C" w:rsidRPr="003F587C" w:rsidRDefault="003F587C" w:rsidP="00743609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3F587C">
        <w:rPr>
          <w:rFonts w:ascii="Times New Roman" w:hAnsi="Times New Roman"/>
          <w:sz w:val="28"/>
          <w:szCs w:val="28"/>
        </w:rPr>
        <w:t xml:space="preserve">- созданы условия для подготовки, переподготовки, повышения квалификации врачей, специалистов с высшим немедицинским образованием; переподготовки, повышения квалификации среднего медицинского персонала; профессионального обучения среднего медицинского персонала (медицинский регистратор, медицинский дезинфектор), младшего медицинского персонала (санитар, младшая медицинская сестра по уходу за больными); </w:t>
      </w:r>
    </w:p>
    <w:p w:rsidR="003F587C" w:rsidRPr="003F587C" w:rsidRDefault="003F587C" w:rsidP="00743609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3F587C">
        <w:rPr>
          <w:rFonts w:ascii="Times New Roman" w:hAnsi="Times New Roman"/>
          <w:sz w:val="28"/>
          <w:szCs w:val="28"/>
        </w:rPr>
        <w:t>- обеспечена выплата стипендий студентам по договорам о целевом обучении и оплата частичного возмещения найма жилья медицинским работникам;</w:t>
      </w:r>
    </w:p>
    <w:p w:rsidR="003F587C" w:rsidRPr="003F587C" w:rsidRDefault="003F587C" w:rsidP="00743609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3F587C">
        <w:rPr>
          <w:rFonts w:ascii="Times New Roman" w:hAnsi="Times New Roman"/>
          <w:sz w:val="28"/>
          <w:szCs w:val="28"/>
        </w:rPr>
        <w:t xml:space="preserve">- исполнены установленные показатели по заработной плате всех категорий медицинских работников. </w:t>
      </w:r>
    </w:p>
    <w:p w:rsidR="004439C1" w:rsidRDefault="004439C1" w:rsidP="00743609">
      <w:pPr>
        <w:pStyle w:val="a3"/>
        <w:ind w:firstLine="708"/>
        <w:jc w:val="both"/>
        <w:rPr>
          <w:rFonts w:ascii="Times New Roman" w:hAnsi="Times New Roman"/>
          <w:b/>
          <w:sz w:val="28"/>
          <w:szCs w:val="28"/>
          <w:highlight w:val="yellow"/>
        </w:rPr>
      </w:pPr>
    </w:p>
    <w:p w:rsidR="00743609" w:rsidRDefault="00743609" w:rsidP="00743609">
      <w:pPr>
        <w:pStyle w:val="a3"/>
        <w:ind w:firstLine="708"/>
        <w:jc w:val="both"/>
        <w:rPr>
          <w:rFonts w:ascii="Times New Roman" w:hAnsi="Times New Roman"/>
          <w:b/>
          <w:sz w:val="28"/>
          <w:szCs w:val="28"/>
          <w:highlight w:val="yellow"/>
        </w:rPr>
      </w:pPr>
    </w:p>
    <w:p w:rsidR="00743609" w:rsidRDefault="00743609" w:rsidP="00743609">
      <w:pPr>
        <w:pStyle w:val="a3"/>
        <w:ind w:firstLine="708"/>
        <w:jc w:val="both"/>
        <w:rPr>
          <w:rFonts w:ascii="Times New Roman" w:hAnsi="Times New Roman"/>
          <w:b/>
          <w:sz w:val="28"/>
          <w:szCs w:val="28"/>
          <w:highlight w:val="yellow"/>
        </w:rPr>
      </w:pPr>
    </w:p>
    <w:p w:rsidR="00BA5114" w:rsidRPr="00453071" w:rsidRDefault="00BA5114" w:rsidP="00743609">
      <w:pPr>
        <w:pStyle w:val="a3"/>
        <w:ind w:firstLine="708"/>
        <w:jc w:val="both"/>
        <w:rPr>
          <w:rFonts w:ascii="Times New Roman" w:hAnsi="Times New Roman"/>
          <w:b/>
          <w:sz w:val="28"/>
          <w:szCs w:val="28"/>
        </w:rPr>
      </w:pPr>
      <w:r w:rsidRPr="00453071">
        <w:rPr>
          <w:rFonts w:ascii="Times New Roman" w:hAnsi="Times New Roman"/>
          <w:b/>
          <w:sz w:val="28"/>
          <w:szCs w:val="28"/>
        </w:rPr>
        <w:lastRenderedPageBreak/>
        <w:t>Образование.</w:t>
      </w:r>
    </w:p>
    <w:p w:rsidR="00453071" w:rsidRPr="00453071" w:rsidRDefault="00453071" w:rsidP="00743609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453071">
        <w:rPr>
          <w:rFonts w:ascii="Times New Roman" w:hAnsi="Times New Roman"/>
          <w:sz w:val="28"/>
          <w:szCs w:val="28"/>
        </w:rPr>
        <w:t>В 2025 году в городе функционировало 11 общеобразовательных учреждений. Общее количество учащихся – 9581 человек. В период с 30.08.2025 по 31.12.2025 функционирует 12 общеобразовательных учреждений (с 01.09.2025 открылась новая школа на 1340 мест МБОУ СОШ № 17 по адресу: г. Азов, ул. Московская, 304, новая школа на 600 мест МБОУ СОШ № 16 по адресу: г. Азов, ул. Гагарина, 32). Охват детей в возрасте от 7 до 18 лет начальным общим, основным общим, средним общим образованием в 2025 году составил 100 %.</w:t>
      </w:r>
    </w:p>
    <w:p w:rsidR="00453071" w:rsidRPr="00453071" w:rsidRDefault="00453071" w:rsidP="00743609">
      <w:pPr>
        <w:pStyle w:val="a5"/>
        <w:ind w:firstLine="708"/>
        <w:jc w:val="both"/>
        <w:rPr>
          <w:szCs w:val="28"/>
        </w:rPr>
      </w:pPr>
      <w:r w:rsidRPr="00453071">
        <w:rPr>
          <w:szCs w:val="28"/>
        </w:rPr>
        <w:t>Доля обучающихся, занимающихся во 2-ю смену, в период с 01.01.2025 по 30.09.2025 составила 31,6 %, сохранился уровень 2024 года (это связано с началом работы школы № 16 и проведением капитального ремонта школы № 5). С 01.09.2025, для обучающихся, занимающихся во 2-ю смену, в период с 01.09.2025 по 31.12.2025 составила 13,03%, что ниже на 19% уровня первого полугодия 2025 года.</w:t>
      </w:r>
    </w:p>
    <w:p w:rsidR="00453071" w:rsidRPr="00453071" w:rsidRDefault="00453071" w:rsidP="00743609">
      <w:pPr>
        <w:pStyle w:val="a5"/>
        <w:ind w:firstLine="708"/>
        <w:jc w:val="both"/>
        <w:rPr>
          <w:iCs/>
          <w:szCs w:val="28"/>
        </w:rPr>
      </w:pPr>
      <w:r w:rsidRPr="00453071">
        <w:rPr>
          <w:iCs/>
          <w:szCs w:val="28"/>
        </w:rPr>
        <w:t xml:space="preserve">В городе Азове, реализовывались мероприятия муниципальной программы «Развитие образования в городе Азове». </w:t>
      </w:r>
    </w:p>
    <w:p w:rsidR="00453071" w:rsidRPr="00453071" w:rsidRDefault="00453071" w:rsidP="00743609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453071">
        <w:rPr>
          <w:rFonts w:ascii="Times New Roman" w:hAnsi="Times New Roman"/>
          <w:sz w:val="28"/>
          <w:szCs w:val="28"/>
        </w:rPr>
        <w:t xml:space="preserve">Удовлетворенность потребности населения в услугах дошкольного образования составляет 100 %. В 2025 году места в дошкольные учреждения получили 466 детей. </w:t>
      </w:r>
    </w:p>
    <w:p w:rsidR="00453071" w:rsidRPr="00F1312F" w:rsidRDefault="00453071" w:rsidP="00743609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F1312F">
        <w:rPr>
          <w:rFonts w:ascii="Times New Roman" w:hAnsi="Times New Roman"/>
          <w:sz w:val="28"/>
          <w:szCs w:val="28"/>
        </w:rPr>
        <w:t>Обеспечена возможность предоставления в электронном виде муниципальной услуги «Прием заявлений о зачислении в муниципальные образовательные учреждения, реализующие основную образовательную программу дошкольного образования (детские сады), а также постановка на соответствующий учет». Эту услугу жители города могут получить в Управлении образования, в МФЦ г. Азова, через госуслуги.</w:t>
      </w:r>
    </w:p>
    <w:p w:rsidR="00453071" w:rsidRPr="00F1312F" w:rsidRDefault="00453071" w:rsidP="00743609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F1312F">
        <w:rPr>
          <w:rFonts w:eastAsia="Calibri"/>
          <w:sz w:val="28"/>
          <w:szCs w:val="28"/>
          <w:lang w:eastAsia="en-US"/>
        </w:rPr>
        <w:t>В целях осуществления ранней диагностики состояния здоровья обучающихся установлены автоматизированные программные комплексы «АРМИС» в семи школах. На их базе проходит обследование около 5 тысяч детей с целью выявления отклонений в состоянии здоровья и проведении работы по организации медицинской помощи. Решение вопросов здоровьесбережения школьников осуществляется на межведомственном уровне.</w:t>
      </w:r>
    </w:p>
    <w:p w:rsidR="00453071" w:rsidRPr="00F1312F" w:rsidRDefault="00453071" w:rsidP="00743609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F1312F">
        <w:rPr>
          <w:rFonts w:ascii="Times New Roman" w:hAnsi="Times New Roman"/>
          <w:sz w:val="28"/>
          <w:szCs w:val="28"/>
        </w:rPr>
        <w:t>Организовано бесплатное горячее питание для обучающихся, получающих начальное общее образование в муниципальных образовательных организациях.</w:t>
      </w:r>
    </w:p>
    <w:p w:rsidR="00453071" w:rsidRPr="00F1312F" w:rsidRDefault="00453071" w:rsidP="00743609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F1312F">
        <w:rPr>
          <w:rFonts w:ascii="Times New Roman" w:hAnsi="Times New Roman"/>
          <w:sz w:val="28"/>
          <w:szCs w:val="28"/>
        </w:rPr>
        <w:t xml:space="preserve">Всеми службами города проведена работа по подготовке и проведению оздоровительной кампании детей в каникулярное время. В период летней оздоровительной кампании в 2025 году в два потока работало 11 оздоровительных лагерей дневного пребывания. В первом потоке оздоровилось – 1032 ребенка, во втором потоке - 644 ребенка. </w:t>
      </w:r>
    </w:p>
    <w:p w:rsidR="00453071" w:rsidRPr="00F1312F" w:rsidRDefault="00453071" w:rsidP="00743609">
      <w:pPr>
        <w:pStyle w:val="a9"/>
        <w:ind w:left="0" w:firstLine="567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F1312F">
        <w:rPr>
          <w:rFonts w:ascii="Times New Roman" w:eastAsia="Calibri" w:hAnsi="Times New Roman"/>
          <w:sz w:val="28"/>
          <w:szCs w:val="28"/>
          <w:lang w:eastAsia="en-US"/>
        </w:rPr>
        <w:t>Дети из малообеспеченных семей, дети-сироты оздоровились в круглосуточных лагерях Неклиновского района - 51 ребенка.</w:t>
      </w:r>
    </w:p>
    <w:p w:rsidR="00453071" w:rsidRPr="00F1312F" w:rsidRDefault="00453071" w:rsidP="00743609">
      <w:pPr>
        <w:pStyle w:val="a9"/>
        <w:ind w:left="0" w:firstLine="567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F1312F">
        <w:rPr>
          <w:rFonts w:ascii="Times New Roman" w:eastAsia="Calibri" w:hAnsi="Times New Roman"/>
          <w:sz w:val="28"/>
          <w:szCs w:val="28"/>
          <w:lang w:eastAsia="en-US"/>
        </w:rPr>
        <w:t>В период летних каникул через Центр занятости было трудоустроено 703 ребят.</w:t>
      </w:r>
    </w:p>
    <w:p w:rsidR="00CB032E" w:rsidRPr="00026C86" w:rsidRDefault="00CB032E" w:rsidP="00B30FB3">
      <w:pPr>
        <w:pStyle w:val="a5"/>
        <w:spacing w:line="276" w:lineRule="auto"/>
        <w:ind w:firstLine="708"/>
        <w:jc w:val="both"/>
        <w:rPr>
          <w:b/>
          <w:iCs/>
          <w:szCs w:val="28"/>
          <w:highlight w:val="yellow"/>
        </w:rPr>
      </w:pPr>
    </w:p>
    <w:p w:rsidR="00743609" w:rsidRPr="00FD501F" w:rsidRDefault="00B30FB3" w:rsidP="00FD501F">
      <w:pPr>
        <w:pStyle w:val="a3"/>
        <w:ind w:firstLine="708"/>
        <w:jc w:val="both"/>
        <w:rPr>
          <w:rFonts w:ascii="Times New Roman" w:hAnsi="Times New Roman"/>
          <w:b/>
          <w:sz w:val="28"/>
          <w:szCs w:val="28"/>
        </w:rPr>
      </w:pPr>
      <w:r w:rsidRPr="00FD501F">
        <w:rPr>
          <w:rFonts w:ascii="Times New Roman" w:hAnsi="Times New Roman"/>
          <w:b/>
          <w:sz w:val="28"/>
          <w:szCs w:val="28"/>
        </w:rPr>
        <w:t>Культура</w:t>
      </w:r>
    </w:p>
    <w:p w:rsidR="00B30FB3" w:rsidRPr="00FD501F" w:rsidRDefault="00B30FB3" w:rsidP="00FD501F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FD501F">
        <w:rPr>
          <w:rFonts w:ascii="Times New Roman" w:hAnsi="Times New Roman"/>
          <w:sz w:val="28"/>
          <w:szCs w:val="28"/>
        </w:rPr>
        <w:t>В отчетном году реализован комплекс мероприятий, определенный муниципальной программой города Азова «Развитие культуры и туризма»</w:t>
      </w:r>
      <w:r w:rsidR="00A77107" w:rsidRPr="00FD501F">
        <w:rPr>
          <w:rFonts w:ascii="Times New Roman" w:hAnsi="Times New Roman"/>
          <w:sz w:val="28"/>
          <w:szCs w:val="28"/>
        </w:rPr>
        <w:t xml:space="preserve">. </w:t>
      </w:r>
    </w:p>
    <w:p w:rsidR="00A77107" w:rsidRPr="00FD501F" w:rsidRDefault="00A77107" w:rsidP="00FD501F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FD501F">
        <w:rPr>
          <w:rFonts w:ascii="Times New Roman" w:hAnsi="Times New Roman"/>
          <w:sz w:val="28"/>
          <w:szCs w:val="28"/>
        </w:rPr>
        <w:t xml:space="preserve">Показатель «увеличение количества посещений учреждений культуры в городе Азове» реализован через индикаторы количества посещений библиотек и культурно-досуговых учреждений на 1000 человек населения, которые в 2025 году составили </w:t>
      </w:r>
      <w:r w:rsidRPr="00FD501F">
        <w:rPr>
          <w:rFonts w:ascii="Times New Roman" w:hAnsi="Times New Roman"/>
          <w:sz w:val="28"/>
          <w:szCs w:val="28"/>
        </w:rPr>
        <w:lastRenderedPageBreak/>
        <w:t>соответственно: 8927,5 посещений (ниже 2024 года на 13,7%) и 5802,5 посещений (выше 2024 года на 16,4%).</w:t>
      </w:r>
    </w:p>
    <w:p w:rsidR="004C0769" w:rsidRPr="00FD501F" w:rsidRDefault="00A77107" w:rsidP="00FD501F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FD501F">
        <w:rPr>
          <w:rFonts w:ascii="Times New Roman" w:hAnsi="Times New Roman"/>
          <w:sz w:val="28"/>
          <w:szCs w:val="28"/>
        </w:rPr>
        <w:t xml:space="preserve">В отчетном году реализован комплекс мероприятий, в результате которых за 2025 год в библиотеках МБУК ЦБС проведено 1559 мероприятий, которые посетили 34268 человек. </w:t>
      </w:r>
    </w:p>
    <w:p w:rsidR="00A77107" w:rsidRPr="00FD501F" w:rsidRDefault="00A77107" w:rsidP="00FD501F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FD501F">
        <w:rPr>
          <w:rFonts w:ascii="Times New Roman" w:hAnsi="Times New Roman"/>
          <w:sz w:val="28"/>
          <w:szCs w:val="28"/>
        </w:rPr>
        <w:t xml:space="preserve">В МБУК ЦБС – количество экземпляров новых поступлений в библиотечные фонды общедоступных библиотек на 1 тыс. человек населения составил 45,6 единиц. </w:t>
      </w:r>
      <w:r w:rsidR="004C0769" w:rsidRPr="00FD501F">
        <w:rPr>
          <w:rFonts w:ascii="Times New Roman" w:hAnsi="Times New Roman"/>
          <w:sz w:val="28"/>
          <w:szCs w:val="28"/>
        </w:rPr>
        <w:t>В</w:t>
      </w:r>
      <w:r w:rsidRPr="00FD501F">
        <w:rPr>
          <w:rFonts w:ascii="Times New Roman" w:hAnsi="Times New Roman"/>
          <w:sz w:val="28"/>
          <w:szCs w:val="28"/>
        </w:rPr>
        <w:t xml:space="preserve"> 2025 году </w:t>
      </w:r>
      <w:r w:rsidR="004C0769" w:rsidRPr="00FD501F">
        <w:rPr>
          <w:rFonts w:ascii="Times New Roman" w:hAnsi="Times New Roman"/>
          <w:sz w:val="28"/>
          <w:szCs w:val="28"/>
        </w:rPr>
        <w:t xml:space="preserve">приобретено </w:t>
      </w:r>
      <w:r w:rsidRPr="00FD501F">
        <w:rPr>
          <w:rFonts w:ascii="Times New Roman" w:hAnsi="Times New Roman"/>
          <w:sz w:val="28"/>
          <w:szCs w:val="28"/>
        </w:rPr>
        <w:t>3682 экземпляра книг на различную тематику.</w:t>
      </w:r>
    </w:p>
    <w:p w:rsidR="00A77107" w:rsidRPr="00FD501F" w:rsidRDefault="00A77107" w:rsidP="00FD501F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FD501F">
        <w:rPr>
          <w:rFonts w:ascii="Times New Roman" w:hAnsi="Times New Roman"/>
          <w:sz w:val="28"/>
          <w:szCs w:val="28"/>
        </w:rPr>
        <w:t>В 2025 году МБУК ГДК г. Азова было проведено 420 культурно-массовых мероприятий, которые посетили 372361 человек.</w:t>
      </w:r>
    </w:p>
    <w:p w:rsidR="00A77107" w:rsidRPr="00FD501F" w:rsidRDefault="00A77107" w:rsidP="00FD501F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FD501F">
        <w:rPr>
          <w:rFonts w:ascii="Times New Roman" w:hAnsi="Times New Roman"/>
          <w:sz w:val="28"/>
          <w:szCs w:val="28"/>
        </w:rPr>
        <w:t>В 2025 году на базе МБУК ГДК г. Азова на бесплатной основе успешно функционировали 51 клубное формирование с общим числом участников 1545 человек, в том числе 32 формирования самодеятельного народного творчества и 19 клубов и любительских объединений.</w:t>
      </w:r>
    </w:p>
    <w:p w:rsidR="00A77107" w:rsidRPr="00FD501F" w:rsidRDefault="00A77107" w:rsidP="00FD501F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FD501F">
        <w:rPr>
          <w:rFonts w:ascii="Times New Roman" w:hAnsi="Times New Roman"/>
          <w:sz w:val="28"/>
          <w:szCs w:val="28"/>
        </w:rPr>
        <w:t xml:space="preserve">В 2025 году в МБУК ГДК г. Азова продолжал работать на постоянной основе Виртуальный концертный зал, созданный в 2024 году в рамках реализации регионального проекта «Цифровизация услуг и формирование информационного пространства в сфере культуры (Ростовская область)» (Национальный проект «Культура») для жителей и гостей города Азова. </w:t>
      </w:r>
    </w:p>
    <w:p w:rsidR="00A77107" w:rsidRPr="00FD501F" w:rsidRDefault="00A77107" w:rsidP="00FD501F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FD501F">
        <w:rPr>
          <w:rFonts w:ascii="Times New Roman" w:hAnsi="Times New Roman"/>
          <w:sz w:val="28"/>
          <w:szCs w:val="28"/>
        </w:rPr>
        <w:t xml:space="preserve">Бесплатные трансляции в нем проходят ежемесячно. Всего в 2025 году проведены 31 трансляция, которые посетили 16104 человека. </w:t>
      </w:r>
    </w:p>
    <w:p w:rsidR="00A77107" w:rsidRPr="00FD501F" w:rsidRDefault="00A77107" w:rsidP="00FD501F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FD501F">
        <w:rPr>
          <w:rFonts w:ascii="Times New Roman" w:hAnsi="Times New Roman"/>
          <w:sz w:val="28"/>
          <w:szCs w:val="28"/>
        </w:rPr>
        <w:t>За счёт средств областного бюджета для МБУК ГДК г. Азова был приобретён уличный экран</w:t>
      </w:r>
      <w:r w:rsidR="004C0769" w:rsidRPr="00FD501F">
        <w:rPr>
          <w:rFonts w:ascii="Times New Roman" w:hAnsi="Times New Roman"/>
          <w:sz w:val="28"/>
          <w:szCs w:val="28"/>
        </w:rPr>
        <w:t>.</w:t>
      </w:r>
      <w:r w:rsidRPr="00FD501F">
        <w:rPr>
          <w:rFonts w:ascii="Times New Roman" w:hAnsi="Times New Roman"/>
          <w:sz w:val="28"/>
          <w:szCs w:val="28"/>
        </w:rPr>
        <w:t xml:space="preserve"> </w:t>
      </w:r>
    </w:p>
    <w:p w:rsidR="004C0769" w:rsidRPr="00FD501F" w:rsidRDefault="004C0769" w:rsidP="00FD501F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FD501F">
        <w:rPr>
          <w:rFonts w:ascii="Times New Roman" w:hAnsi="Times New Roman"/>
          <w:sz w:val="28"/>
          <w:szCs w:val="28"/>
        </w:rPr>
        <w:t>Организациями дополнительного образования (МБУ ДО ДШИ и МБУ ДО ДХШ г. Азова) предоставлено обучение 969 учащимся, по различным направлениям.</w:t>
      </w:r>
    </w:p>
    <w:p w:rsidR="002958A8" w:rsidRPr="00026C86" w:rsidRDefault="002958A8" w:rsidP="002958A8">
      <w:pPr>
        <w:pStyle w:val="Default"/>
        <w:spacing w:line="276" w:lineRule="auto"/>
        <w:ind w:firstLine="708"/>
        <w:jc w:val="both"/>
        <w:rPr>
          <w:rFonts w:eastAsia="Calibri"/>
          <w:b/>
          <w:color w:val="auto"/>
          <w:sz w:val="28"/>
          <w:szCs w:val="28"/>
          <w:highlight w:val="yellow"/>
          <w:shd w:val="clear" w:color="auto" w:fill="FFFFFF"/>
          <w:lang w:eastAsia="en-US"/>
        </w:rPr>
      </w:pPr>
    </w:p>
    <w:p w:rsidR="002958A8" w:rsidRPr="00AA395B" w:rsidRDefault="002958A8" w:rsidP="00AA395B">
      <w:pPr>
        <w:pStyle w:val="a3"/>
        <w:ind w:firstLine="708"/>
        <w:jc w:val="both"/>
        <w:rPr>
          <w:rFonts w:ascii="Times New Roman" w:hAnsi="Times New Roman"/>
          <w:b/>
          <w:sz w:val="28"/>
          <w:szCs w:val="28"/>
        </w:rPr>
      </w:pPr>
      <w:r w:rsidRPr="00AA395B">
        <w:rPr>
          <w:rFonts w:ascii="Times New Roman" w:hAnsi="Times New Roman"/>
          <w:b/>
          <w:sz w:val="28"/>
          <w:szCs w:val="28"/>
        </w:rPr>
        <w:t>Туризм</w:t>
      </w:r>
    </w:p>
    <w:p w:rsidR="00FD501F" w:rsidRPr="00FD501F" w:rsidRDefault="00FD501F" w:rsidP="00AA395B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FD501F">
        <w:rPr>
          <w:rFonts w:ascii="Times New Roman" w:hAnsi="Times New Roman"/>
          <w:sz w:val="28"/>
          <w:szCs w:val="28"/>
        </w:rPr>
        <w:t>За 2025 год на 10,0% увеличился объем туристского потока в сравнении с прошлым годом.</w:t>
      </w:r>
    </w:p>
    <w:p w:rsidR="00FD501F" w:rsidRPr="00AA395B" w:rsidRDefault="00FD501F" w:rsidP="00AA395B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AA395B">
        <w:rPr>
          <w:rFonts w:ascii="Times New Roman" w:hAnsi="Times New Roman"/>
          <w:sz w:val="28"/>
          <w:szCs w:val="28"/>
        </w:rPr>
        <w:t xml:space="preserve">Турпоток по всем объектам туриндустрии составил за отчетный период 218,1 тыс. человек, что ниже уровня 2024 года на 10,4% (2024 год – 243,4 тыс. чел.). В том числе количество туристов выросло на 46,9%, а количество экскурсантов сократилось на 14%. </w:t>
      </w:r>
    </w:p>
    <w:p w:rsidR="00FD501F" w:rsidRPr="00AA395B" w:rsidRDefault="00FD501F" w:rsidP="00AA395B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AA395B">
        <w:rPr>
          <w:rFonts w:ascii="Times New Roman" w:hAnsi="Times New Roman"/>
          <w:sz w:val="28"/>
          <w:szCs w:val="28"/>
        </w:rPr>
        <w:t>На сегодняшний день город Азов входит в национальные туристические маршруты: «</w:t>
      </w:r>
      <w:proofErr w:type="spellStart"/>
      <w:r w:rsidRPr="00AA395B">
        <w:rPr>
          <w:rFonts w:ascii="Times New Roman" w:hAnsi="Times New Roman"/>
          <w:sz w:val="28"/>
          <w:szCs w:val="28"/>
        </w:rPr>
        <w:t>Стартап</w:t>
      </w:r>
      <w:proofErr w:type="spellEnd"/>
      <w:r w:rsidRPr="00AA395B">
        <w:rPr>
          <w:rFonts w:ascii="Times New Roman" w:hAnsi="Times New Roman"/>
          <w:sz w:val="28"/>
          <w:szCs w:val="28"/>
        </w:rPr>
        <w:t xml:space="preserve"> Петра 1», «Большой казачий круг» и «Золотое Кольцо </w:t>
      </w:r>
      <w:proofErr w:type="spellStart"/>
      <w:r w:rsidRPr="00AA395B">
        <w:rPr>
          <w:rFonts w:ascii="Times New Roman" w:hAnsi="Times New Roman"/>
          <w:sz w:val="28"/>
          <w:szCs w:val="28"/>
        </w:rPr>
        <w:t>Боспорского</w:t>
      </w:r>
      <w:proofErr w:type="spellEnd"/>
      <w:r w:rsidRPr="00AA395B">
        <w:rPr>
          <w:rFonts w:ascii="Times New Roman" w:hAnsi="Times New Roman"/>
          <w:sz w:val="28"/>
          <w:szCs w:val="28"/>
        </w:rPr>
        <w:t xml:space="preserve"> царства» объединяющий Краснодарский край, Крым и Ростовскую область. </w:t>
      </w:r>
    </w:p>
    <w:p w:rsidR="00FD501F" w:rsidRPr="00AA395B" w:rsidRDefault="00FD501F" w:rsidP="00AA395B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AA395B">
        <w:rPr>
          <w:rFonts w:ascii="Times New Roman" w:hAnsi="Times New Roman"/>
          <w:sz w:val="28"/>
          <w:szCs w:val="28"/>
        </w:rPr>
        <w:t xml:space="preserve">В 2025 году на базе АТИ ДГТУ, кафедры «Экономика» было открыто новое направление «Туризм и сервис».  </w:t>
      </w:r>
    </w:p>
    <w:p w:rsidR="00FD501F" w:rsidRPr="00AA395B" w:rsidRDefault="00FD501F" w:rsidP="00AA395B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AA395B">
        <w:rPr>
          <w:rFonts w:ascii="Times New Roman" w:hAnsi="Times New Roman"/>
          <w:sz w:val="28"/>
          <w:szCs w:val="28"/>
        </w:rPr>
        <w:t xml:space="preserve">В 2025 году продолжалась работа школы гидов экскурсоводов, которая была начата в 2024 году. </w:t>
      </w:r>
    </w:p>
    <w:p w:rsidR="00FD501F" w:rsidRPr="00AA395B" w:rsidRDefault="00FD501F" w:rsidP="00AA395B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AA395B">
        <w:rPr>
          <w:rFonts w:ascii="Times New Roman" w:hAnsi="Times New Roman"/>
          <w:sz w:val="28"/>
          <w:szCs w:val="28"/>
        </w:rPr>
        <w:t>Для туристов, прибывающих на суднах «Валдай», организовано туристическое сопровождение.</w:t>
      </w:r>
    </w:p>
    <w:p w:rsidR="00FD501F" w:rsidRPr="00AA395B" w:rsidRDefault="00FD501F" w:rsidP="00AA395B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AA395B">
        <w:rPr>
          <w:rFonts w:ascii="Times New Roman" w:hAnsi="Times New Roman"/>
          <w:sz w:val="28"/>
          <w:szCs w:val="28"/>
        </w:rPr>
        <w:t>За счет объединения представителей туристических услуг в «Азовский альянс гостеприимства» удалось сохранить ключевые объекты размещения, гастрономии и развлечения.</w:t>
      </w:r>
    </w:p>
    <w:p w:rsidR="00FD501F" w:rsidRPr="00AA395B" w:rsidRDefault="00FD501F" w:rsidP="00AA395B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AA395B">
        <w:rPr>
          <w:rFonts w:ascii="Times New Roman" w:hAnsi="Times New Roman"/>
          <w:sz w:val="28"/>
          <w:szCs w:val="28"/>
        </w:rPr>
        <w:t>Альянс гостеприимства города, сегодня представлен:</w:t>
      </w:r>
    </w:p>
    <w:p w:rsidR="00FD501F" w:rsidRPr="00AA395B" w:rsidRDefault="00FD501F" w:rsidP="00AA395B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AA395B">
        <w:rPr>
          <w:rFonts w:ascii="Times New Roman" w:hAnsi="Times New Roman"/>
          <w:sz w:val="28"/>
          <w:szCs w:val="28"/>
        </w:rPr>
        <w:lastRenderedPageBreak/>
        <w:t xml:space="preserve">- всеми видами коллективных средств размещения общим номерным фондом 353 номера и единовременным </w:t>
      </w:r>
      <w:proofErr w:type="gramStart"/>
      <w:r w:rsidRPr="00AA395B">
        <w:rPr>
          <w:rFonts w:ascii="Times New Roman" w:hAnsi="Times New Roman"/>
          <w:sz w:val="28"/>
          <w:szCs w:val="28"/>
        </w:rPr>
        <w:t>проживанием  803</w:t>
      </w:r>
      <w:proofErr w:type="gramEnd"/>
      <w:r w:rsidRPr="00AA395B">
        <w:rPr>
          <w:rFonts w:ascii="Times New Roman" w:hAnsi="Times New Roman"/>
          <w:sz w:val="28"/>
          <w:szCs w:val="28"/>
        </w:rPr>
        <w:t xml:space="preserve"> койко-места.  </w:t>
      </w:r>
    </w:p>
    <w:p w:rsidR="00FD501F" w:rsidRPr="00AA395B" w:rsidRDefault="00FD501F" w:rsidP="00AA395B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AA395B">
        <w:rPr>
          <w:rFonts w:ascii="Times New Roman" w:hAnsi="Times New Roman"/>
          <w:sz w:val="28"/>
          <w:szCs w:val="28"/>
        </w:rPr>
        <w:t xml:space="preserve">- </w:t>
      </w:r>
      <w:proofErr w:type="gramStart"/>
      <w:r w:rsidRPr="00AA395B">
        <w:rPr>
          <w:rFonts w:ascii="Times New Roman" w:hAnsi="Times New Roman"/>
          <w:sz w:val="28"/>
          <w:szCs w:val="28"/>
        </w:rPr>
        <w:t>большим  ландшафтным</w:t>
      </w:r>
      <w:proofErr w:type="gramEnd"/>
      <w:r w:rsidRPr="00AA395B">
        <w:rPr>
          <w:rFonts w:ascii="Times New Roman" w:hAnsi="Times New Roman"/>
          <w:sz w:val="28"/>
          <w:szCs w:val="28"/>
        </w:rPr>
        <w:t xml:space="preserve"> парком  «Киммерия» на 700  гектар, </w:t>
      </w:r>
    </w:p>
    <w:p w:rsidR="00FD501F" w:rsidRPr="00AA395B" w:rsidRDefault="00FD501F" w:rsidP="00AA395B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AA395B">
        <w:rPr>
          <w:rFonts w:ascii="Times New Roman" w:hAnsi="Times New Roman"/>
          <w:sz w:val="28"/>
          <w:szCs w:val="28"/>
        </w:rPr>
        <w:t xml:space="preserve">- частной винодельней «Кантина» создающей вина из автохтонных сортов винограда, </w:t>
      </w:r>
    </w:p>
    <w:p w:rsidR="00FD501F" w:rsidRPr="00AA395B" w:rsidRDefault="00FD501F" w:rsidP="00AA395B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AA395B">
        <w:rPr>
          <w:rFonts w:ascii="Times New Roman" w:hAnsi="Times New Roman"/>
          <w:sz w:val="28"/>
          <w:szCs w:val="28"/>
        </w:rPr>
        <w:t xml:space="preserve">- </w:t>
      </w:r>
      <w:proofErr w:type="gramStart"/>
      <w:r w:rsidRPr="00AA395B">
        <w:rPr>
          <w:rFonts w:ascii="Times New Roman" w:hAnsi="Times New Roman"/>
          <w:sz w:val="28"/>
          <w:szCs w:val="28"/>
        </w:rPr>
        <w:t>пивоварней  «</w:t>
      </w:r>
      <w:proofErr w:type="gramEnd"/>
      <w:r w:rsidRPr="00AA395B">
        <w:rPr>
          <w:rFonts w:ascii="Times New Roman" w:hAnsi="Times New Roman"/>
          <w:sz w:val="28"/>
          <w:szCs w:val="28"/>
        </w:rPr>
        <w:t xml:space="preserve">Шерхоф»,  разливающей «Имперский </w:t>
      </w:r>
      <w:proofErr w:type="spellStart"/>
      <w:r w:rsidRPr="00AA395B">
        <w:rPr>
          <w:rFonts w:ascii="Times New Roman" w:hAnsi="Times New Roman"/>
          <w:sz w:val="28"/>
          <w:szCs w:val="28"/>
        </w:rPr>
        <w:t>стаут</w:t>
      </w:r>
      <w:proofErr w:type="spellEnd"/>
      <w:r w:rsidRPr="00AA395B">
        <w:rPr>
          <w:rFonts w:ascii="Times New Roman" w:hAnsi="Times New Roman"/>
          <w:sz w:val="28"/>
          <w:szCs w:val="28"/>
        </w:rPr>
        <w:t xml:space="preserve">» и грушевый </w:t>
      </w:r>
      <w:proofErr w:type="spellStart"/>
      <w:r w:rsidRPr="00AA395B">
        <w:rPr>
          <w:rFonts w:ascii="Times New Roman" w:hAnsi="Times New Roman"/>
          <w:sz w:val="28"/>
          <w:szCs w:val="28"/>
        </w:rPr>
        <w:t>пуаре</w:t>
      </w:r>
      <w:proofErr w:type="spellEnd"/>
      <w:r w:rsidRPr="00AA395B">
        <w:rPr>
          <w:rFonts w:ascii="Times New Roman" w:hAnsi="Times New Roman"/>
          <w:sz w:val="28"/>
          <w:szCs w:val="28"/>
        </w:rPr>
        <w:t>,</w:t>
      </w:r>
    </w:p>
    <w:p w:rsidR="00FD501F" w:rsidRPr="00AA395B" w:rsidRDefault="00FD501F" w:rsidP="00AA395B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AA395B">
        <w:rPr>
          <w:rFonts w:ascii="Times New Roman" w:hAnsi="Times New Roman"/>
          <w:sz w:val="28"/>
          <w:szCs w:val="28"/>
        </w:rPr>
        <w:t>- рестораном-музеем «Крепостной вал» в меню, которого входят запатентованные блюда исторической кухни,</w:t>
      </w:r>
    </w:p>
    <w:p w:rsidR="00FD501F" w:rsidRPr="00AA395B" w:rsidRDefault="00FD501F" w:rsidP="00AA395B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AA395B">
        <w:rPr>
          <w:rFonts w:ascii="Times New Roman" w:hAnsi="Times New Roman"/>
          <w:sz w:val="28"/>
          <w:szCs w:val="28"/>
        </w:rPr>
        <w:t>- прокатом спортивного оборудования «Лодочки».</w:t>
      </w:r>
    </w:p>
    <w:p w:rsidR="00FD501F" w:rsidRPr="00AA395B" w:rsidRDefault="00FD501F" w:rsidP="00AA395B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AA395B">
        <w:rPr>
          <w:rFonts w:ascii="Times New Roman" w:hAnsi="Times New Roman"/>
          <w:sz w:val="28"/>
          <w:szCs w:val="28"/>
        </w:rPr>
        <w:t xml:space="preserve">Входя в федерльные и региональные маршруты (такие как «Золотое кольцо </w:t>
      </w:r>
      <w:proofErr w:type="spellStart"/>
      <w:r w:rsidRPr="00AA395B">
        <w:rPr>
          <w:rFonts w:ascii="Times New Roman" w:hAnsi="Times New Roman"/>
          <w:sz w:val="28"/>
          <w:szCs w:val="28"/>
        </w:rPr>
        <w:t>Боспорского</w:t>
      </w:r>
      <w:proofErr w:type="spellEnd"/>
      <w:r w:rsidRPr="00AA395B">
        <w:rPr>
          <w:rFonts w:ascii="Times New Roman" w:hAnsi="Times New Roman"/>
          <w:sz w:val="28"/>
          <w:szCs w:val="28"/>
        </w:rPr>
        <w:t xml:space="preserve"> царства» и «</w:t>
      </w:r>
      <w:proofErr w:type="spellStart"/>
      <w:r w:rsidRPr="00AA395B">
        <w:rPr>
          <w:rFonts w:ascii="Times New Roman" w:hAnsi="Times New Roman"/>
          <w:sz w:val="28"/>
          <w:szCs w:val="28"/>
        </w:rPr>
        <w:t>Стартап</w:t>
      </w:r>
      <w:proofErr w:type="spellEnd"/>
      <w:r w:rsidRPr="00AA395B">
        <w:rPr>
          <w:rFonts w:ascii="Times New Roman" w:hAnsi="Times New Roman"/>
          <w:sz w:val="28"/>
          <w:szCs w:val="28"/>
        </w:rPr>
        <w:t xml:space="preserve"> Петра первого») разработана целая линейка маршрутов и предложений включая водные прогулки и активные виды туризма с использованием ресурсов приазовской рекреации. </w:t>
      </w:r>
    </w:p>
    <w:p w:rsidR="00FD501F" w:rsidRPr="00AA395B" w:rsidRDefault="00FD501F" w:rsidP="00AA395B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AA395B">
        <w:rPr>
          <w:rFonts w:ascii="Times New Roman" w:hAnsi="Times New Roman"/>
          <w:sz w:val="28"/>
          <w:szCs w:val="28"/>
        </w:rPr>
        <w:t>С 2019 года проводилась совместная работа фонда инвестиционных строительных проектов (ФИСП) и Администрации города Азова по реализации подпроекта «Повышение туристической привлек</w:t>
      </w:r>
      <w:bookmarkStart w:id="0" w:name="_GoBack"/>
      <w:bookmarkEnd w:id="0"/>
      <w:r w:rsidRPr="00AA395B">
        <w:rPr>
          <w:rFonts w:ascii="Times New Roman" w:hAnsi="Times New Roman"/>
          <w:sz w:val="28"/>
          <w:szCs w:val="28"/>
        </w:rPr>
        <w:t xml:space="preserve">ательности города Азова – стратегический фактор развития региона» в рамках федерального проекта «Комплексное развитие территории и инфраструктуры малых исторических поселений». Заявка по городу Азову принята. </w:t>
      </w:r>
    </w:p>
    <w:p w:rsidR="002958A8" w:rsidRPr="00026C86" w:rsidRDefault="002958A8" w:rsidP="00B30FB3">
      <w:pPr>
        <w:pStyle w:val="a5"/>
        <w:spacing w:line="276" w:lineRule="auto"/>
        <w:ind w:firstLine="708"/>
        <w:jc w:val="both"/>
        <w:rPr>
          <w:iCs/>
          <w:szCs w:val="28"/>
          <w:highlight w:val="yellow"/>
        </w:rPr>
      </w:pPr>
    </w:p>
    <w:p w:rsidR="00226D35" w:rsidRPr="00A22663" w:rsidRDefault="00226D35" w:rsidP="00A22663">
      <w:pPr>
        <w:pStyle w:val="a3"/>
        <w:ind w:firstLine="708"/>
        <w:jc w:val="both"/>
        <w:rPr>
          <w:rFonts w:ascii="Times New Roman" w:hAnsi="Times New Roman"/>
          <w:b/>
          <w:sz w:val="28"/>
          <w:szCs w:val="28"/>
        </w:rPr>
      </w:pPr>
      <w:r w:rsidRPr="00A22663">
        <w:rPr>
          <w:rFonts w:ascii="Times New Roman" w:hAnsi="Times New Roman"/>
          <w:b/>
          <w:sz w:val="28"/>
          <w:szCs w:val="28"/>
        </w:rPr>
        <w:t>Спорт</w:t>
      </w:r>
    </w:p>
    <w:p w:rsidR="00AA395B" w:rsidRPr="00A22663" w:rsidRDefault="00AA395B" w:rsidP="00A22663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A22663">
        <w:rPr>
          <w:rFonts w:ascii="Times New Roman" w:hAnsi="Times New Roman"/>
          <w:sz w:val="28"/>
          <w:szCs w:val="28"/>
        </w:rPr>
        <w:t xml:space="preserve">В рамках развития физической культуры и спорта на территории города Азова в 2025 году проведено 172 муниципальных спортивных мероприятий, в которых приняло участие более 15 000 человек. </w:t>
      </w:r>
    </w:p>
    <w:p w:rsidR="00CF0D1F" w:rsidRPr="00A22663" w:rsidRDefault="00CF0D1F" w:rsidP="00A22663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A22663">
        <w:rPr>
          <w:rFonts w:ascii="Times New Roman" w:hAnsi="Times New Roman"/>
          <w:sz w:val="28"/>
          <w:szCs w:val="28"/>
        </w:rPr>
        <w:t xml:space="preserve">Показатель </w:t>
      </w:r>
      <w:r w:rsidRPr="00A22663">
        <w:rPr>
          <w:rFonts w:ascii="Times New Roman" w:hAnsi="Times New Roman"/>
          <w:sz w:val="28"/>
          <w:szCs w:val="28"/>
        </w:rPr>
        <w:t>«увеличение доли граждан, систематически занимающихся физической культурой и спортом»</w:t>
      </w:r>
      <w:r w:rsidRPr="00A22663">
        <w:rPr>
          <w:rFonts w:ascii="Times New Roman" w:hAnsi="Times New Roman"/>
          <w:sz w:val="28"/>
          <w:szCs w:val="28"/>
        </w:rPr>
        <w:t xml:space="preserve"> з</w:t>
      </w:r>
      <w:r w:rsidRPr="00A22663">
        <w:rPr>
          <w:rFonts w:ascii="Times New Roman" w:hAnsi="Times New Roman"/>
          <w:sz w:val="28"/>
          <w:szCs w:val="28"/>
        </w:rPr>
        <w:t xml:space="preserve">а 2025 год составил 60,28%, что на 1,48 пункта выше прошлого года (2024 год – 58,8%). </w:t>
      </w:r>
    </w:p>
    <w:p w:rsidR="00AA395B" w:rsidRPr="00A22663" w:rsidRDefault="00AA395B" w:rsidP="00A22663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A22663">
        <w:rPr>
          <w:rFonts w:ascii="Times New Roman" w:hAnsi="Times New Roman"/>
          <w:sz w:val="28"/>
          <w:szCs w:val="28"/>
        </w:rPr>
        <w:t>В целях создания условий, обеспечивающих возможность жителям города Азова вести здоровый образ жизни, систематически заниматься физической культурой и спортом, в рамках реализации муниципальной программы города Азова «Развитие физической культуры и спорта в городе Азове», в 2025 году было израсходовано средств в объеме 28,8 млн. руб. (в том числе за счет бюджета города – 26,465 млн. руб.) и реализован комплекс мероприятий, в результате которых:</w:t>
      </w:r>
    </w:p>
    <w:p w:rsidR="00AA395B" w:rsidRPr="00A22663" w:rsidRDefault="00AA395B" w:rsidP="00A22663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A22663">
        <w:rPr>
          <w:rFonts w:ascii="Times New Roman" w:hAnsi="Times New Roman"/>
          <w:sz w:val="28"/>
          <w:szCs w:val="28"/>
        </w:rPr>
        <w:t xml:space="preserve">- число участников и зрителей спортивных мероприятий составило 17500 чел., что выше 2024 года на 44,3% (2024 год – 15129 чел.); </w:t>
      </w:r>
    </w:p>
    <w:p w:rsidR="00AA395B" w:rsidRPr="00A22663" w:rsidRDefault="00AA395B" w:rsidP="00A22663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A22663">
        <w:rPr>
          <w:rFonts w:ascii="Times New Roman" w:hAnsi="Times New Roman"/>
          <w:sz w:val="28"/>
          <w:szCs w:val="28"/>
        </w:rPr>
        <w:t>- доля населения, выполнившего нормативы Всероссийского физкультурно-спортивного комплекса «Готов к труду и обороне» (ГТО), в общей численности населения, принявшего участие в сдаче нормативов Всероссийского физкультурно-спортивного комплекса «Готов к труду и обороне» (ГТО), составила 44,75%, что соответствует плану;</w:t>
      </w:r>
    </w:p>
    <w:p w:rsidR="00AA395B" w:rsidRPr="00A22663" w:rsidRDefault="00AA395B" w:rsidP="00A22663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A22663">
        <w:rPr>
          <w:rFonts w:ascii="Times New Roman" w:hAnsi="Times New Roman"/>
          <w:sz w:val="28"/>
          <w:szCs w:val="28"/>
        </w:rPr>
        <w:t>- уровень обеспеченности спортивными сооружениями, исходя из единовременной пропускной способности объектов спорта, в том числе для лиц с ограниченными возможностями здоровья и инвалидов, составляет 57,9%, что на 6,2 пункта выше прошлого года (2024 год - 51,7%);</w:t>
      </w:r>
    </w:p>
    <w:p w:rsidR="00AA395B" w:rsidRPr="00A22663" w:rsidRDefault="00AA395B" w:rsidP="00A22663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A22663">
        <w:rPr>
          <w:rFonts w:ascii="Times New Roman" w:hAnsi="Times New Roman"/>
          <w:sz w:val="28"/>
          <w:szCs w:val="28"/>
        </w:rPr>
        <w:t>- доля лиц с ограниченными возможностями здоровья и инвалидов, систематически занимающихся физической культурой и спортом, в общей численности данной категории населения составила 27,1%.</w:t>
      </w:r>
    </w:p>
    <w:p w:rsidR="00AA395B" w:rsidRPr="00A22663" w:rsidRDefault="00AA395B" w:rsidP="00A22663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A22663">
        <w:rPr>
          <w:rFonts w:ascii="Times New Roman" w:hAnsi="Times New Roman"/>
          <w:sz w:val="28"/>
          <w:szCs w:val="28"/>
        </w:rPr>
        <w:lastRenderedPageBreak/>
        <w:t>Развитие инфраструктуры сферы физической культуры и спорта включает в себя следующие направления:</w:t>
      </w:r>
    </w:p>
    <w:p w:rsidR="00AA395B" w:rsidRPr="00A22663" w:rsidRDefault="00AA395B" w:rsidP="00A22663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A22663">
        <w:rPr>
          <w:rFonts w:ascii="Times New Roman" w:hAnsi="Times New Roman"/>
          <w:sz w:val="28"/>
          <w:szCs w:val="28"/>
        </w:rPr>
        <w:t>- обеспечение деятельности подведомственного муниципального автономного учреждения города Азова «Спортивный комплекс имени Э.П. Лакомова»;</w:t>
      </w:r>
    </w:p>
    <w:p w:rsidR="00AA395B" w:rsidRPr="00A22663" w:rsidRDefault="00AA395B" w:rsidP="00A22663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A22663">
        <w:rPr>
          <w:rFonts w:ascii="Times New Roman" w:hAnsi="Times New Roman"/>
          <w:sz w:val="28"/>
          <w:szCs w:val="28"/>
        </w:rPr>
        <w:t>- развитие и укрепление материально-технической базы спортивных объектов города.</w:t>
      </w:r>
    </w:p>
    <w:p w:rsidR="00AA395B" w:rsidRPr="00A22663" w:rsidRDefault="00AA395B" w:rsidP="00A22663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A22663">
        <w:rPr>
          <w:rFonts w:ascii="Times New Roman" w:hAnsi="Times New Roman"/>
          <w:sz w:val="28"/>
          <w:szCs w:val="28"/>
        </w:rPr>
        <w:t xml:space="preserve">В городе работают федерации по видам спорта: настольный теннис, тайский бокс, футбол, кикбоксинг, баскетбол, </w:t>
      </w:r>
      <w:proofErr w:type="spellStart"/>
      <w:r w:rsidRPr="00A22663">
        <w:rPr>
          <w:rFonts w:ascii="Times New Roman" w:hAnsi="Times New Roman"/>
          <w:sz w:val="28"/>
          <w:szCs w:val="28"/>
        </w:rPr>
        <w:t>киокусинкай</w:t>
      </w:r>
      <w:proofErr w:type="spellEnd"/>
      <w:r w:rsidRPr="00A22663">
        <w:rPr>
          <w:rFonts w:ascii="Times New Roman" w:hAnsi="Times New Roman"/>
          <w:sz w:val="28"/>
          <w:szCs w:val="28"/>
        </w:rPr>
        <w:t>, тхэквондо, волейбол.</w:t>
      </w:r>
      <w:bookmarkStart w:id="1" w:name="_Hlk67479170"/>
      <w:r w:rsidRPr="00A22663">
        <w:rPr>
          <w:rFonts w:ascii="Times New Roman" w:hAnsi="Times New Roman"/>
          <w:sz w:val="28"/>
          <w:szCs w:val="28"/>
        </w:rPr>
        <w:t xml:space="preserve"> В муниципальных спортивных школах № 1, № 2, № 3 и областной спортивной школе ГБУ РО «СШОР № 9» спортивные секции по 15 видам спорта являются бесплатными.</w:t>
      </w:r>
    </w:p>
    <w:bookmarkEnd w:id="1"/>
    <w:p w:rsidR="00AA395B" w:rsidRPr="00A22663" w:rsidRDefault="00AA395B" w:rsidP="00A22663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A22663">
        <w:rPr>
          <w:rFonts w:ascii="Times New Roman" w:hAnsi="Times New Roman"/>
          <w:sz w:val="28"/>
          <w:szCs w:val="28"/>
        </w:rPr>
        <w:t xml:space="preserve">В рамках пропаганды физической культуры и спорта в дошкольных образовательных учреждениях организованы дополнительные физкультурно-оздоровительные занятия по ОФП, футболу, гимнастике, хореографии, </w:t>
      </w:r>
      <w:proofErr w:type="spellStart"/>
      <w:r w:rsidRPr="00A22663">
        <w:rPr>
          <w:rFonts w:ascii="Times New Roman" w:hAnsi="Times New Roman"/>
          <w:sz w:val="28"/>
          <w:szCs w:val="28"/>
        </w:rPr>
        <w:t>фитбол</w:t>
      </w:r>
      <w:proofErr w:type="spellEnd"/>
      <w:r w:rsidRPr="00A22663">
        <w:rPr>
          <w:rFonts w:ascii="Times New Roman" w:hAnsi="Times New Roman"/>
          <w:sz w:val="28"/>
          <w:szCs w:val="28"/>
        </w:rPr>
        <w:t>-аэробике, шахматам, шашкам.</w:t>
      </w:r>
    </w:p>
    <w:sectPr w:rsidR="00AA395B" w:rsidRPr="00A22663" w:rsidSect="00743609">
      <w:pgSz w:w="11906" w:h="16838"/>
      <w:pgMar w:top="851" w:right="851" w:bottom="567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FreeSans">
    <w:panose1 w:val="00000000000000000000"/>
    <w:charset w:val="CC"/>
    <w:family w:val="auto"/>
    <w:notTrueType/>
    <w:pitch w:val="variable"/>
    <w:sig w:usb0="00000201" w:usb1="00000000" w:usb2="00000000" w:usb3="00000000" w:csb0="00000004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3B20DFD"/>
    <w:multiLevelType w:val="hybridMultilevel"/>
    <w:tmpl w:val="CC28BCBC"/>
    <w:lvl w:ilvl="0" w:tplc="01927F3C">
      <w:start w:val="2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A6D61484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7F58EE68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AD46FABE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0F3837AC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284EBC14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0298B86C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78C0D9BA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5EFED18E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62B15EDB"/>
    <w:multiLevelType w:val="hybridMultilevel"/>
    <w:tmpl w:val="7DD4B484"/>
    <w:lvl w:ilvl="0" w:tplc="BD5E48F0">
      <w:start w:val="2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88D60392">
      <w:start w:val="1"/>
      <w:numFmt w:val="lowerLetter"/>
      <w:lvlText w:val="%2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66B2450E">
      <w:start w:val="1"/>
      <w:numFmt w:val="lowerRoman"/>
      <w:lvlText w:val="%3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B576F448">
      <w:start w:val="1"/>
      <w:numFmt w:val="decimal"/>
      <w:lvlText w:val="%4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331E80D2">
      <w:start w:val="1"/>
      <w:numFmt w:val="lowerLetter"/>
      <w:lvlText w:val="%5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55DEA340">
      <w:start w:val="1"/>
      <w:numFmt w:val="lowerRoman"/>
      <w:lvlText w:val="%6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38241100">
      <w:start w:val="1"/>
      <w:numFmt w:val="decimal"/>
      <w:lvlText w:val="%7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71FC5F2A">
      <w:start w:val="1"/>
      <w:numFmt w:val="lowerLetter"/>
      <w:lvlText w:val="%8"/>
      <w:lvlJc w:val="left"/>
      <w:pPr>
        <w:ind w:left="6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62606A48">
      <w:start w:val="1"/>
      <w:numFmt w:val="lowerRoman"/>
      <w:lvlText w:val="%9"/>
      <w:lvlJc w:val="left"/>
      <w:pPr>
        <w:ind w:left="6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78301DA5"/>
    <w:multiLevelType w:val="hybridMultilevel"/>
    <w:tmpl w:val="F07C7B28"/>
    <w:lvl w:ilvl="0" w:tplc="0D6C3A58">
      <w:start w:val="5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A8B00D58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6B0649D4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DDA81D6A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EC3699C0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D18ED0F6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F94C98FA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2F2C397E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07884D1C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21C8"/>
    <w:rsid w:val="00026C86"/>
    <w:rsid w:val="00076CAA"/>
    <w:rsid w:val="00161C71"/>
    <w:rsid w:val="00195C62"/>
    <w:rsid w:val="001D6EAE"/>
    <w:rsid w:val="002118EE"/>
    <w:rsid w:val="00226D35"/>
    <w:rsid w:val="00233316"/>
    <w:rsid w:val="002958A8"/>
    <w:rsid w:val="003F587C"/>
    <w:rsid w:val="00403190"/>
    <w:rsid w:val="00410526"/>
    <w:rsid w:val="00422D86"/>
    <w:rsid w:val="004439C1"/>
    <w:rsid w:val="00453071"/>
    <w:rsid w:val="004B379F"/>
    <w:rsid w:val="004C0769"/>
    <w:rsid w:val="004F4B8E"/>
    <w:rsid w:val="005228E3"/>
    <w:rsid w:val="005353E5"/>
    <w:rsid w:val="00541471"/>
    <w:rsid w:val="005872B0"/>
    <w:rsid w:val="005A7CF5"/>
    <w:rsid w:val="005C2BE2"/>
    <w:rsid w:val="00606372"/>
    <w:rsid w:val="00690D6A"/>
    <w:rsid w:val="006A2020"/>
    <w:rsid w:val="00743609"/>
    <w:rsid w:val="0076376C"/>
    <w:rsid w:val="00781C5D"/>
    <w:rsid w:val="00801BD0"/>
    <w:rsid w:val="008038F0"/>
    <w:rsid w:val="0080720E"/>
    <w:rsid w:val="008343F6"/>
    <w:rsid w:val="00844F4F"/>
    <w:rsid w:val="00847486"/>
    <w:rsid w:val="00883B74"/>
    <w:rsid w:val="0096437C"/>
    <w:rsid w:val="009A36FA"/>
    <w:rsid w:val="009E414F"/>
    <w:rsid w:val="009E6F80"/>
    <w:rsid w:val="00A22663"/>
    <w:rsid w:val="00A77107"/>
    <w:rsid w:val="00AA395B"/>
    <w:rsid w:val="00AA55F2"/>
    <w:rsid w:val="00AC495E"/>
    <w:rsid w:val="00AD3A3C"/>
    <w:rsid w:val="00B30FB3"/>
    <w:rsid w:val="00B332E9"/>
    <w:rsid w:val="00B421C8"/>
    <w:rsid w:val="00B66648"/>
    <w:rsid w:val="00B83D68"/>
    <w:rsid w:val="00BA298F"/>
    <w:rsid w:val="00BA5114"/>
    <w:rsid w:val="00BB6AE0"/>
    <w:rsid w:val="00C553C3"/>
    <w:rsid w:val="00C74B9A"/>
    <w:rsid w:val="00CB032E"/>
    <w:rsid w:val="00CF0D1F"/>
    <w:rsid w:val="00D15137"/>
    <w:rsid w:val="00D2554C"/>
    <w:rsid w:val="00D3290B"/>
    <w:rsid w:val="00E026CF"/>
    <w:rsid w:val="00E77946"/>
    <w:rsid w:val="00EA7600"/>
    <w:rsid w:val="00EB1344"/>
    <w:rsid w:val="00EC32AE"/>
    <w:rsid w:val="00F1312F"/>
    <w:rsid w:val="00F22744"/>
    <w:rsid w:val="00F35F3F"/>
    <w:rsid w:val="00F513B4"/>
    <w:rsid w:val="00F77E10"/>
    <w:rsid w:val="00F86188"/>
    <w:rsid w:val="00F94A72"/>
    <w:rsid w:val="00FD501F"/>
    <w:rsid w:val="00FF78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6C3E68"/>
  <w15:chartTrackingRefBased/>
  <w15:docId w15:val="{6C2CEED4-F6ED-49E2-B829-DD4B5921DE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421C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99"/>
    <w:qFormat/>
    <w:rsid w:val="00B421C8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styleId="a5">
    <w:name w:val="List"/>
    <w:basedOn w:val="a6"/>
    <w:uiPriority w:val="99"/>
    <w:rsid w:val="00B421C8"/>
    <w:pPr>
      <w:suppressAutoHyphens/>
      <w:spacing w:after="0"/>
      <w:jc w:val="center"/>
    </w:pPr>
    <w:rPr>
      <w:rFonts w:eastAsia="Calibri" w:cs="FreeSans"/>
      <w:kern w:val="1"/>
      <w:sz w:val="28"/>
    </w:rPr>
  </w:style>
  <w:style w:type="character" w:customStyle="1" w:styleId="a4">
    <w:name w:val="Без интервала Знак"/>
    <w:link w:val="a3"/>
    <w:uiPriority w:val="99"/>
    <w:locked/>
    <w:rsid w:val="00B421C8"/>
    <w:rPr>
      <w:rFonts w:ascii="Calibri" w:eastAsia="Calibri" w:hAnsi="Calibri" w:cs="Times New Roman"/>
      <w:lang w:eastAsia="en-US"/>
    </w:rPr>
  </w:style>
  <w:style w:type="paragraph" w:styleId="a6">
    <w:name w:val="Body Text"/>
    <w:basedOn w:val="a"/>
    <w:link w:val="a7"/>
    <w:uiPriority w:val="99"/>
    <w:semiHidden/>
    <w:unhideWhenUsed/>
    <w:rsid w:val="00B421C8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semiHidden/>
    <w:rsid w:val="00B421C8"/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uiPriority w:val="99"/>
    <w:qFormat/>
    <w:rsid w:val="00BA511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a8">
    <w:name w:val="Основной текст_"/>
    <w:link w:val="4"/>
    <w:rsid w:val="00BA5114"/>
    <w:rPr>
      <w:sz w:val="28"/>
      <w:szCs w:val="28"/>
      <w:shd w:val="clear" w:color="auto" w:fill="FFFFFF"/>
    </w:rPr>
  </w:style>
  <w:style w:type="paragraph" w:customStyle="1" w:styleId="4">
    <w:name w:val="Основной текст4"/>
    <w:basedOn w:val="a"/>
    <w:link w:val="a8"/>
    <w:rsid w:val="00BA5114"/>
    <w:pPr>
      <w:shd w:val="clear" w:color="auto" w:fill="FFFFFF"/>
      <w:spacing w:after="240" w:line="317" w:lineRule="exact"/>
      <w:ind w:hanging="720"/>
    </w:pPr>
    <w:rPr>
      <w:rFonts w:asciiTheme="minorHAnsi" w:eastAsiaTheme="minorHAnsi" w:hAnsiTheme="minorHAnsi" w:cstheme="minorBidi"/>
      <w:sz w:val="28"/>
      <w:szCs w:val="28"/>
    </w:rPr>
  </w:style>
  <w:style w:type="character" w:customStyle="1" w:styleId="43">
    <w:name w:val="Основной текст (43) + Не курсив"/>
    <w:uiPriority w:val="99"/>
    <w:rsid w:val="009E414F"/>
    <w:rPr>
      <w:rFonts w:ascii="Times New Roman" w:hAnsi="Times New Roman" w:cs="Times New Roman" w:hint="default"/>
      <w:i/>
      <w:iCs w:val="0"/>
      <w:spacing w:val="0"/>
      <w:sz w:val="28"/>
    </w:rPr>
  </w:style>
  <w:style w:type="paragraph" w:styleId="a9">
    <w:name w:val="List Paragraph"/>
    <w:aliases w:val="ПАРАГРАФ,Абзац списка для документа"/>
    <w:basedOn w:val="a"/>
    <w:link w:val="aa"/>
    <w:uiPriority w:val="99"/>
    <w:qFormat/>
    <w:rsid w:val="00F77E10"/>
    <w:pPr>
      <w:ind w:left="720"/>
      <w:contextualSpacing/>
    </w:pPr>
    <w:rPr>
      <w:rFonts w:ascii="Calibri" w:hAnsi="Calibri"/>
      <w:szCs w:val="20"/>
    </w:rPr>
  </w:style>
  <w:style w:type="character" w:customStyle="1" w:styleId="aa">
    <w:name w:val="Абзац списка Знак"/>
    <w:aliases w:val="ПАРАГРАФ Знак,Абзац списка для документа Знак"/>
    <w:link w:val="a9"/>
    <w:uiPriority w:val="99"/>
    <w:locked/>
    <w:rsid w:val="00F77E10"/>
    <w:rPr>
      <w:rFonts w:ascii="Calibri" w:eastAsia="Times New Roman" w:hAnsi="Calibri" w:cs="Times New Roman"/>
      <w:sz w:val="24"/>
      <w:szCs w:val="20"/>
    </w:rPr>
  </w:style>
  <w:style w:type="paragraph" w:styleId="ab">
    <w:name w:val="Normal (Web)"/>
    <w:basedOn w:val="a"/>
    <w:uiPriority w:val="99"/>
    <w:unhideWhenUsed/>
    <w:rsid w:val="00D15137"/>
    <w:pPr>
      <w:spacing w:before="100" w:beforeAutospacing="1" w:after="100" w:afterAutospacing="1"/>
    </w:pPr>
  </w:style>
  <w:style w:type="paragraph" w:styleId="ac">
    <w:name w:val="Body Text Indent"/>
    <w:basedOn w:val="a"/>
    <w:link w:val="ad"/>
    <w:uiPriority w:val="99"/>
    <w:semiHidden/>
    <w:unhideWhenUsed/>
    <w:rsid w:val="00AA395B"/>
    <w:pPr>
      <w:spacing w:after="120"/>
      <w:ind w:left="283"/>
    </w:pPr>
  </w:style>
  <w:style w:type="character" w:customStyle="1" w:styleId="ad">
    <w:name w:val="Основной текст с отступом Знак"/>
    <w:basedOn w:val="a0"/>
    <w:link w:val="ac"/>
    <w:uiPriority w:val="99"/>
    <w:semiHidden/>
    <w:rsid w:val="00AA395B"/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">
    <w:name w:val="ConsPlusNormal"/>
    <w:rsid w:val="00AA395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2222</TotalTime>
  <Pages>5</Pages>
  <Words>1765</Words>
  <Characters>10061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Кирилова Елена Анатольевна</dc:creator>
  <cp:keywords/>
  <dc:description/>
  <cp:lastModifiedBy>Кирилова Елена Анатольевна</cp:lastModifiedBy>
  <cp:revision>56</cp:revision>
  <dcterms:created xsi:type="dcterms:W3CDTF">2021-10-28T13:03:00Z</dcterms:created>
  <dcterms:modified xsi:type="dcterms:W3CDTF">2026-09-28T09:06:00Z</dcterms:modified>
</cp:coreProperties>
</file>