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A69" w:rsidRPr="00D11F62" w:rsidRDefault="00643A69" w:rsidP="00643A69">
      <w:pPr>
        <w:ind w:left="23" w:right="0"/>
        <w:jc w:val="center"/>
        <w:rPr>
          <w:b/>
          <w:sz w:val="32"/>
          <w:szCs w:val="32"/>
        </w:rPr>
      </w:pPr>
      <w:r w:rsidRPr="00D11F62">
        <w:rPr>
          <w:b/>
          <w:sz w:val="32"/>
          <w:szCs w:val="32"/>
        </w:rPr>
        <w:t>Бюджет города Азова</w:t>
      </w:r>
      <w:bookmarkStart w:id="0" w:name="_GoBack"/>
      <w:bookmarkEnd w:id="0"/>
    </w:p>
    <w:p w:rsidR="00643A69" w:rsidRDefault="00643A69" w:rsidP="00643A69">
      <w:pPr>
        <w:ind w:left="23" w:right="0"/>
      </w:pPr>
    </w:p>
    <w:p w:rsidR="00C51320" w:rsidRPr="00D11F62" w:rsidRDefault="00D11F62" w:rsidP="00C51320">
      <w:pPr>
        <w:ind w:firstLine="706"/>
        <w:rPr>
          <w:color w:val="auto"/>
          <w:sz w:val="32"/>
          <w:szCs w:val="32"/>
        </w:rPr>
      </w:pPr>
      <w:r w:rsidRPr="00D11F62">
        <w:rPr>
          <w:sz w:val="32"/>
          <w:szCs w:val="32"/>
        </w:rPr>
        <w:t>В 2025 году в</w:t>
      </w:r>
      <w:r w:rsidR="00C51320" w:rsidRPr="00D11F62">
        <w:rPr>
          <w:sz w:val="32"/>
          <w:szCs w:val="32"/>
        </w:rPr>
        <w:t xml:space="preserve"> бюджет города Азова поступило доходов 3 821 039,4 тыс. руб., или 99,5 процента к годовому плану. Расходы бюджета города Азова составили     3 850 796,3 тыс. руб. или 96,9 процента от плана. По итогам 2025 года сложился дефицит – 29 756,9 тыс. руб. </w:t>
      </w:r>
    </w:p>
    <w:p w:rsidR="00C51320" w:rsidRPr="00D11F62" w:rsidRDefault="00C51320" w:rsidP="00C51320">
      <w:pPr>
        <w:ind w:firstLine="706"/>
        <w:rPr>
          <w:sz w:val="32"/>
          <w:szCs w:val="32"/>
        </w:rPr>
      </w:pPr>
      <w:r w:rsidRPr="00D11F62">
        <w:rPr>
          <w:sz w:val="32"/>
          <w:szCs w:val="32"/>
        </w:rPr>
        <w:t xml:space="preserve">Снижение доходов по сравнению с прошлым годом составило 1 701 555,9 тыс. руб. или 30,8 процента. </w:t>
      </w:r>
    </w:p>
    <w:p w:rsidR="00C51320" w:rsidRPr="00D11F62" w:rsidRDefault="00C51320" w:rsidP="00C51320">
      <w:pPr>
        <w:ind w:firstLine="706"/>
        <w:rPr>
          <w:sz w:val="32"/>
          <w:szCs w:val="32"/>
        </w:rPr>
      </w:pPr>
      <w:r w:rsidRPr="00D11F62">
        <w:rPr>
          <w:sz w:val="32"/>
          <w:szCs w:val="32"/>
        </w:rPr>
        <w:t>Бюджет города Азова по налоговым и неналоговым доходам за 2025 год исполнен в сумме 1 333 942,1 тыс. руб. или 102,2 процента к утвержденным бюджетным назначениям на год (1 304 784,6 тыс. руб.).</w:t>
      </w:r>
    </w:p>
    <w:p w:rsidR="00C51320" w:rsidRPr="00D11F62" w:rsidRDefault="00C51320" w:rsidP="00C51320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Безвозмездные поступления за 2025 год составили 2 487 097,3 тыс. руб., что на 1 710 328,1 тыс. руб. или на 40,7 процента ниже показателя 2024 года.</w:t>
      </w:r>
    </w:p>
    <w:p w:rsidR="00C51320" w:rsidRPr="00D11F62" w:rsidRDefault="00C51320" w:rsidP="00C51320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Расходы бюджета города Азова в 2025 году по сравнению с 2024 годом уменьшились на 1 582 319,0 тыс. руб. или на 29,1 процента.</w:t>
      </w:r>
    </w:p>
    <w:p w:rsidR="00C51320" w:rsidRPr="00D11F62" w:rsidRDefault="00C51320" w:rsidP="00C51320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Бюджетная политика в сфере расходов бюджета города была направлена на решение социальных и экономических задач города. Приоритетом являлось обеспечение населения бюджетными услугами отраслей социальной сферы.</w:t>
      </w:r>
    </w:p>
    <w:p w:rsidR="00C51320" w:rsidRPr="00D11F62" w:rsidRDefault="00C51320" w:rsidP="00C51320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Расходы на образование, социальную политику, культуру, кинематографию, физическую культуру и спорт, здравоохранение составили 74,3 процента всех расходов.</w:t>
      </w:r>
    </w:p>
    <w:p w:rsidR="00C51320" w:rsidRPr="00D11F62" w:rsidRDefault="00C51320" w:rsidP="00C51320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 xml:space="preserve">Наибольший удельный вес в структуре расходов занимают следующие направления: </w:t>
      </w:r>
    </w:p>
    <w:p w:rsidR="00C51320" w:rsidRPr="00D11F62" w:rsidRDefault="00C51320" w:rsidP="00C51320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- образование –52,7 процента;</w:t>
      </w:r>
    </w:p>
    <w:p w:rsidR="00C51320" w:rsidRPr="00D11F62" w:rsidRDefault="00C51320" w:rsidP="00C51320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- социальная политика – 16,5 процента.</w:t>
      </w:r>
    </w:p>
    <w:p w:rsidR="00D11F62" w:rsidRPr="00D11F62" w:rsidRDefault="00D11F62" w:rsidP="00D11F62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Бюджет города Азова 2025 года сформирован и исполнен в программной структуре расходов на основе утвержденных Администрацией города 20 муниципальных программ.</w:t>
      </w:r>
    </w:p>
    <w:p w:rsidR="00D11F62" w:rsidRPr="00D11F62" w:rsidRDefault="00D11F62" w:rsidP="00D11F62">
      <w:pPr>
        <w:spacing w:line="230" w:lineRule="auto"/>
        <w:ind w:firstLine="708"/>
        <w:rPr>
          <w:sz w:val="32"/>
          <w:szCs w:val="32"/>
        </w:rPr>
      </w:pPr>
      <w:r w:rsidRPr="00D11F62">
        <w:rPr>
          <w:sz w:val="32"/>
          <w:szCs w:val="32"/>
        </w:rPr>
        <w:t>Расходы бюджета города, сформированные по программной структуре, в сумме 3 635 902,4 тыс. руб. или 91,5 процента от общего планового объема расходов бюджета в 2025 году, исполнены в сумме 3 577 109,8 тыс. руб. или 92,9 процента от общего объема расходов.</w:t>
      </w:r>
    </w:p>
    <w:p w:rsidR="005C2BE2" w:rsidRPr="00D11F62" w:rsidRDefault="005C2BE2">
      <w:pPr>
        <w:rPr>
          <w:sz w:val="32"/>
          <w:szCs w:val="32"/>
        </w:rPr>
      </w:pPr>
    </w:p>
    <w:sectPr w:rsidR="005C2BE2" w:rsidRPr="00D11F62" w:rsidSect="00D11F6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8338B"/>
    <w:multiLevelType w:val="hybridMultilevel"/>
    <w:tmpl w:val="2638A21A"/>
    <w:lvl w:ilvl="0" w:tplc="65C82BE8">
      <w:start w:val="1"/>
      <w:numFmt w:val="bullet"/>
      <w:lvlText w:val="-"/>
      <w:lvlJc w:val="left"/>
      <w:pPr>
        <w:ind w:left="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968579A">
      <w:start w:val="1"/>
      <w:numFmt w:val="bullet"/>
      <w:lvlText w:val="o"/>
      <w:lvlJc w:val="left"/>
      <w:pPr>
        <w:ind w:left="18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2D6C25E">
      <w:start w:val="1"/>
      <w:numFmt w:val="bullet"/>
      <w:lvlText w:val="▪"/>
      <w:lvlJc w:val="left"/>
      <w:pPr>
        <w:ind w:left="2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E726D68">
      <w:start w:val="1"/>
      <w:numFmt w:val="bullet"/>
      <w:lvlText w:val="•"/>
      <w:lvlJc w:val="left"/>
      <w:pPr>
        <w:ind w:left="32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53EBB9C">
      <w:start w:val="1"/>
      <w:numFmt w:val="bullet"/>
      <w:lvlText w:val="o"/>
      <w:lvlJc w:val="left"/>
      <w:pPr>
        <w:ind w:left="39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4CEB43A">
      <w:start w:val="1"/>
      <w:numFmt w:val="bullet"/>
      <w:lvlText w:val="▪"/>
      <w:lvlJc w:val="left"/>
      <w:pPr>
        <w:ind w:left="46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E082F94">
      <w:start w:val="1"/>
      <w:numFmt w:val="bullet"/>
      <w:lvlText w:val="•"/>
      <w:lvlJc w:val="left"/>
      <w:pPr>
        <w:ind w:left="54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D240BA6">
      <w:start w:val="1"/>
      <w:numFmt w:val="bullet"/>
      <w:lvlText w:val="o"/>
      <w:lvlJc w:val="left"/>
      <w:pPr>
        <w:ind w:left="6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2E250D4">
      <w:start w:val="1"/>
      <w:numFmt w:val="bullet"/>
      <w:lvlText w:val="▪"/>
      <w:lvlJc w:val="left"/>
      <w:pPr>
        <w:ind w:left="6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A69"/>
    <w:rsid w:val="005C2BE2"/>
    <w:rsid w:val="00643A69"/>
    <w:rsid w:val="00C51320"/>
    <w:rsid w:val="00D1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88056"/>
  <w15:chartTrackingRefBased/>
  <w15:docId w15:val="{9B03721D-ADBC-4808-8F9F-288B7034D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A69"/>
    <w:pPr>
      <w:spacing w:after="3" w:line="247" w:lineRule="auto"/>
      <w:ind w:left="257" w:right="395" w:firstLine="69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4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Кирилова Елена Анатольевна</dc:creator>
  <cp:keywords/>
  <dc:description/>
  <cp:lastModifiedBy>Кирилова Елена Анатольевна</cp:lastModifiedBy>
  <cp:revision>3</cp:revision>
  <dcterms:created xsi:type="dcterms:W3CDTF">2026-09-24T08:43:00Z</dcterms:created>
  <dcterms:modified xsi:type="dcterms:W3CDTF">2026-09-24T08:53:00Z</dcterms:modified>
</cp:coreProperties>
</file>