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BF" w:rsidRPr="00360318" w:rsidRDefault="00AA40BF" w:rsidP="000C2F33">
      <w:pPr>
        <w:tabs>
          <w:tab w:val="left" w:pos="4678"/>
        </w:tabs>
        <w:ind w:left="4678"/>
        <w:jc w:val="both"/>
        <w:rPr>
          <w:sz w:val="28"/>
          <w:szCs w:val="28"/>
        </w:rPr>
      </w:pPr>
      <w:r w:rsidRPr="00360318">
        <w:rPr>
          <w:sz w:val="28"/>
          <w:szCs w:val="28"/>
        </w:rPr>
        <w:t>Приложение</w:t>
      </w:r>
    </w:p>
    <w:p w:rsidR="00AA40BF" w:rsidRPr="00360318" w:rsidRDefault="00AA40BF" w:rsidP="000C2F33">
      <w:pPr>
        <w:ind w:left="4678"/>
        <w:jc w:val="both"/>
        <w:rPr>
          <w:sz w:val="28"/>
          <w:szCs w:val="28"/>
        </w:rPr>
      </w:pPr>
      <w:r w:rsidRPr="00360318">
        <w:rPr>
          <w:sz w:val="28"/>
          <w:szCs w:val="28"/>
        </w:rPr>
        <w:t xml:space="preserve">к Докладу о достигнутых значениях показателей эффективности деятельности органов местного самоуправления                  города Азова </w:t>
      </w:r>
      <w:r w:rsidRPr="00837F8C">
        <w:rPr>
          <w:sz w:val="28"/>
          <w:szCs w:val="28"/>
        </w:rPr>
        <w:t>за 202</w:t>
      </w:r>
      <w:r w:rsidR="00D06542">
        <w:rPr>
          <w:sz w:val="28"/>
          <w:szCs w:val="28"/>
        </w:rPr>
        <w:t>4</w:t>
      </w:r>
      <w:r w:rsidRPr="00837F8C">
        <w:rPr>
          <w:sz w:val="28"/>
          <w:szCs w:val="28"/>
        </w:rPr>
        <w:t xml:space="preserve"> год и их планируемых значениях на 3-летний период.</w:t>
      </w:r>
    </w:p>
    <w:p w:rsidR="00AA40BF" w:rsidRPr="00360318" w:rsidRDefault="00AA40BF" w:rsidP="000C2F33">
      <w:pPr>
        <w:jc w:val="both"/>
        <w:rPr>
          <w:sz w:val="28"/>
          <w:szCs w:val="28"/>
        </w:rPr>
      </w:pPr>
    </w:p>
    <w:p w:rsidR="00AA40BF" w:rsidRPr="00360318" w:rsidRDefault="00AA40BF" w:rsidP="000C2F33">
      <w:pPr>
        <w:jc w:val="both"/>
        <w:rPr>
          <w:sz w:val="28"/>
          <w:szCs w:val="28"/>
        </w:rPr>
      </w:pPr>
    </w:p>
    <w:p w:rsidR="00AA40BF" w:rsidRPr="00360318" w:rsidRDefault="00AA40BF" w:rsidP="000C2F33">
      <w:pPr>
        <w:jc w:val="both"/>
        <w:rPr>
          <w:sz w:val="28"/>
          <w:szCs w:val="28"/>
        </w:rPr>
      </w:pPr>
    </w:p>
    <w:p w:rsidR="00AA40BF" w:rsidRPr="00360318" w:rsidRDefault="00AA40BF" w:rsidP="00667AC4">
      <w:pPr>
        <w:jc w:val="center"/>
        <w:rPr>
          <w:sz w:val="28"/>
          <w:szCs w:val="28"/>
        </w:rPr>
      </w:pPr>
      <w:r w:rsidRPr="00360318">
        <w:rPr>
          <w:sz w:val="28"/>
          <w:szCs w:val="28"/>
        </w:rPr>
        <w:t>Пояснительная записка</w:t>
      </w:r>
    </w:p>
    <w:p w:rsidR="00AA40BF" w:rsidRPr="00360318" w:rsidRDefault="00AA40BF" w:rsidP="00667AC4">
      <w:pPr>
        <w:jc w:val="center"/>
        <w:rPr>
          <w:sz w:val="28"/>
          <w:szCs w:val="28"/>
        </w:rPr>
      </w:pPr>
    </w:p>
    <w:p w:rsidR="00AA40BF" w:rsidRPr="00EB35A2" w:rsidRDefault="00AA40BF" w:rsidP="00667AC4">
      <w:pPr>
        <w:jc w:val="center"/>
        <w:rPr>
          <w:b/>
          <w:sz w:val="28"/>
          <w:szCs w:val="28"/>
        </w:rPr>
      </w:pPr>
      <w:r w:rsidRPr="00EB35A2">
        <w:rPr>
          <w:b/>
          <w:sz w:val="28"/>
          <w:szCs w:val="28"/>
          <w:lang w:val="en-US"/>
        </w:rPr>
        <w:t>I</w:t>
      </w:r>
      <w:r w:rsidRPr="00EB35A2">
        <w:rPr>
          <w:b/>
          <w:sz w:val="28"/>
          <w:szCs w:val="28"/>
        </w:rPr>
        <w:t>. Экономическое развитие</w:t>
      </w:r>
    </w:p>
    <w:p w:rsidR="00AA40BF" w:rsidRPr="00EB35A2" w:rsidRDefault="00AA40BF" w:rsidP="00667AC4">
      <w:pPr>
        <w:jc w:val="center"/>
        <w:rPr>
          <w:b/>
          <w:sz w:val="28"/>
          <w:szCs w:val="28"/>
        </w:rPr>
      </w:pPr>
    </w:p>
    <w:p w:rsidR="00EB35A2" w:rsidRDefault="00AA40BF" w:rsidP="00667AC4">
      <w:pPr>
        <w:pStyle w:val="Style17"/>
        <w:widowControl/>
        <w:tabs>
          <w:tab w:val="left" w:pos="684"/>
          <w:tab w:val="left" w:pos="9923"/>
        </w:tabs>
        <w:spacing w:line="240" w:lineRule="auto"/>
        <w:ind w:right="140" w:firstLine="0"/>
        <w:rPr>
          <w:b/>
          <w:sz w:val="28"/>
          <w:szCs w:val="28"/>
        </w:rPr>
      </w:pPr>
      <w:r w:rsidRPr="00EB35A2">
        <w:rPr>
          <w:b/>
          <w:sz w:val="28"/>
          <w:szCs w:val="28"/>
        </w:rPr>
        <w:tab/>
        <w:t>Показатель 1. Число субъектов малого и среднего предпринимательства в расчете на 10 тыс. человек населения</w:t>
      </w:r>
    </w:p>
    <w:p w:rsidR="00EB35A2" w:rsidRDefault="00EB35A2" w:rsidP="00667AC4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 w:rsidRPr="00794E57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МСП на 10 тыс. человек населения (далее – СМСП) составило по годам:</w:t>
      </w:r>
      <w:r w:rsidR="00B23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– 420 ед., 2023- 447,6 ед., 2024 – 450,5 ед. </w:t>
      </w:r>
    </w:p>
    <w:p w:rsidR="00EB35A2" w:rsidRPr="003D5FDE" w:rsidRDefault="00EB35A2" w:rsidP="00667AC4">
      <w:pPr>
        <w:pStyle w:val="Style17"/>
        <w:widowControl/>
        <w:tabs>
          <w:tab w:val="left" w:pos="684"/>
        </w:tabs>
        <w:spacing w:line="240" w:lineRule="auto"/>
        <w:ind w:right="140" w:firstLine="709"/>
        <w:rPr>
          <w:sz w:val="28"/>
          <w:szCs w:val="28"/>
        </w:rPr>
      </w:pPr>
      <w:r w:rsidRPr="003D5FDE">
        <w:rPr>
          <w:sz w:val="28"/>
          <w:szCs w:val="28"/>
        </w:rPr>
        <w:t>Ан</w:t>
      </w:r>
      <w:r>
        <w:rPr>
          <w:sz w:val="28"/>
          <w:szCs w:val="28"/>
        </w:rPr>
        <w:t>ал</w:t>
      </w:r>
      <w:r w:rsidRPr="003D5FDE">
        <w:rPr>
          <w:sz w:val="28"/>
          <w:szCs w:val="28"/>
        </w:rPr>
        <w:t xml:space="preserve">из результатов деятельности малых и средних предприятий по </w:t>
      </w:r>
      <w:r>
        <w:rPr>
          <w:sz w:val="28"/>
          <w:szCs w:val="28"/>
        </w:rPr>
        <w:t xml:space="preserve">итогам 2024 года </w:t>
      </w:r>
      <w:r w:rsidRPr="003D5FDE">
        <w:rPr>
          <w:sz w:val="28"/>
          <w:szCs w:val="28"/>
        </w:rPr>
        <w:t xml:space="preserve">позволяет прогнозировать достижение значений указанного показателя </w:t>
      </w:r>
      <w:r>
        <w:rPr>
          <w:sz w:val="28"/>
          <w:szCs w:val="28"/>
        </w:rPr>
        <w:t>в 2025 – 448,8</w:t>
      </w:r>
      <w:r w:rsidRPr="003D5FD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; в 2026 – 449,0 единицы</w:t>
      </w:r>
      <w:r w:rsidRPr="003D5FDE">
        <w:rPr>
          <w:sz w:val="28"/>
          <w:szCs w:val="28"/>
        </w:rPr>
        <w:t>,</w:t>
      </w:r>
      <w:r>
        <w:rPr>
          <w:sz w:val="28"/>
          <w:szCs w:val="28"/>
        </w:rPr>
        <w:t xml:space="preserve"> в 2027 – 450 единица,</w:t>
      </w:r>
      <w:r w:rsidRPr="003D5FDE">
        <w:rPr>
          <w:sz w:val="28"/>
          <w:szCs w:val="28"/>
        </w:rPr>
        <w:t xml:space="preserve"> что будет обеспечено за счет</w:t>
      </w:r>
      <w:r>
        <w:rPr>
          <w:sz w:val="28"/>
          <w:szCs w:val="28"/>
        </w:rPr>
        <w:t xml:space="preserve"> </w:t>
      </w:r>
      <w:r w:rsidRPr="003D5FDE">
        <w:rPr>
          <w:sz w:val="28"/>
          <w:szCs w:val="28"/>
        </w:rPr>
        <w:t>исполнения мероприятий муниципальной программы города Азова «Развитие субъектов малого и среднего предпринимательства, и защита прав потребителей в городе Азове»:</w:t>
      </w:r>
    </w:p>
    <w:p w:rsidR="00EB35A2" w:rsidRDefault="00EB35A2" w:rsidP="00667AC4">
      <w:pPr>
        <w:tabs>
          <w:tab w:val="left" w:pos="9923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D5FDE">
        <w:rPr>
          <w:sz w:val="28"/>
          <w:szCs w:val="28"/>
        </w:rPr>
        <w:t>о</w:t>
      </w:r>
      <w:r>
        <w:rPr>
          <w:sz w:val="28"/>
          <w:szCs w:val="28"/>
        </w:rPr>
        <w:t xml:space="preserve">нсультационное, </w:t>
      </w:r>
      <w:r w:rsidRPr="003D5FDE">
        <w:rPr>
          <w:sz w:val="28"/>
          <w:szCs w:val="28"/>
        </w:rPr>
        <w:t>методическое, аналитическое, организационно</w:t>
      </w:r>
      <w:r>
        <w:rPr>
          <w:sz w:val="28"/>
          <w:szCs w:val="28"/>
        </w:rPr>
        <w:t>е обеспечение деятельности СМСП;</w:t>
      </w:r>
    </w:p>
    <w:p w:rsidR="00EB35A2" w:rsidRDefault="00EB35A2" w:rsidP="00667AC4">
      <w:pPr>
        <w:tabs>
          <w:tab w:val="left" w:pos="9923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межведомственного взаимодействия, направленного на выведение предпринимательской деятельности из неформального сектора;</w:t>
      </w:r>
    </w:p>
    <w:p w:rsidR="00EB35A2" w:rsidRPr="004F16F4" w:rsidRDefault="00EB35A2" w:rsidP="00667AC4">
      <w:pPr>
        <w:tabs>
          <w:tab w:val="left" w:pos="9923"/>
        </w:tabs>
        <w:ind w:right="140" w:firstLine="709"/>
        <w:jc w:val="both"/>
        <w:rPr>
          <w:sz w:val="28"/>
          <w:szCs w:val="28"/>
        </w:rPr>
      </w:pPr>
      <w:r w:rsidRPr="004F16F4">
        <w:rPr>
          <w:sz w:val="28"/>
          <w:szCs w:val="28"/>
        </w:rPr>
        <w:t>- развития коммуникационных связей между органами власти и бизнесом, и внутри предпринимательского сообщества</w:t>
      </w:r>
      <w:r>
        <w:rPr>
          <w:sz w:val="28"/>
          <w:szCs w:val="28"/>
        </w:rPr>
        <w:t>.</w:t>
      </w:r>
    </w:p>
    <w:p w:rsidR="00BC4B3F" w:rsidRPr="007F73EE" w:rsidRDefault="00BC4B3F" w:rsidP="00667AC4">
      <w:pPr>
        <w:tabs>
          <w:tab w:val="left" w:pos="709"/>
          <w:tab w:val="left" w:pos="9923"/>
        </w:tabs>
        <w:jc w:val="both"/>
        <w:rPr>
          <w:b/>
          <w:sz w:val="28"/>
          <w:szCs w:val="28"/>
          <w:highlight w:val="yellow"/>
        </w:rPr>
      </w:pPr>
    </w:p>
    <w:p w:rsidR="00A171F0" w:rsidRDefault="00120845" w:rsidP="00667AC4">
      <w:pPr>
        <w:tabs>
          <w:tab w:val="left" w:pos="9923"/>
        </w:tabs>
        <w:ind w:firstLine="1"/>
        <w:jc w:val="both"/>
        <w:rPr>
          <w:sz w:val="28"/>
          <w:szCs w:val="28"/>
        </w:rPr>
      </w:pPr>
      <w:r w:rsidRPr="00B233C7">
        <w:rPr>
          <w:b/>
          <w:sz w:val="28"/>
          <w:szCs w:val="28"/>
        </w:rPr>
        <w:t xml:space="preserve">          </w:t>
      </w:r>
      <w:r w:rsidR="00AA40BF" w:rsidRPr="00B233C7">
        <w:rPr>
          <w:b/>
          <w:sz w:val="28"/>
          <w:szCs w:val="28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 w:rsidR="001C67F7" w:rsidRPr="00B233C7">
        <w:rPr>
          <w:sz w:val="28"/>
          <w:szCs w:val="28"/>
        </w:rPr>
        <w:t xml:space="preserve">   </w:t>
      </w:r>
    </w:p>
    <w:p w:rsidR="00B233C7" w:rsidRDefault="00B233C7" w:rsidP="00667AC4">
      <w:pPr>
        <w:pStyle w:val="Style17"/>
        <w:widowControl/>
        <w:tabs>
          <w:tab w:val="left" w:pos="684"/>
          <w:tab w:val="left" w:pos="9923"/>
        </w:tabs>
        <w:spacing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>Значение показателя по годам составило:</w:t>
      </w:r>
      <w:r w:rsidR="00C24401">
        <w:rPr>
          <w:sz w:val="28"/>
          <w:szCs w:val="28"/>
        </w:rPr>
        <w:t xml:space="preserve"> </w:t>
      </w:r>
      <w:r>
        <w:rPr>
          <w:sz w:val="28"/>
          <w:szCs w:val="28"/>
        </w:rPr>
        <w:t>2022- 29,2%, 2023 – 27,5%, 2024 - 27,0%.</w:t>
      </w:r>
    </w:p>
    <w:p w:rsidR="00B233C7" w:rsidRDefault="00B233C7" w:rsidP="00667AC4">
      <w:pPr>
        <w:pStyle w:val="Style17"/>
        <w:widowControl/>
        <w:tabs>
          <w:tab w:val="left" w:pos="684"/>
          <w:tab w:val="left" w:pos="9923"/>
        </w:tabs>
        <w:spacing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2023 годом значение показателя снизилось на 1,8%, что обусловлено введением внешних санкций и увеличением числа самозанятых граждан, которые согласно действующего законодательства не могут иметь наемных работников. </w:t>
      </w:r>
    </w:p>
    <w:p w:rsidR="00B233C7" w:rsidRDefault="00B233C7" w:rsidP="00667AC4">
      <w:pPr>
        <w:pStyle w:val="Style17"/>
        <w:widowControl/>
        <w:tabs>
          <w:tab w:val="left" w:pos="684"/>
          <w:tab w:val="left" w:pos="9923"/>
        </w:tabs>
        <w:spacing w:line="240" w:lineRule="auto"/>
        <w:ind w:right="14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418A9">
        <w:rPr>
          <w:sz w:val="28"/>
          <w:szCs w:val="28"/>
        </w:rPr>
        <w:t xml:space="preserve">о состоянию на </w:t>
      </w:r>
      <w:r>
        <w:rPr>
          <w:sz w:val="28"/>
          <w:szCs w:val="28"/>
        </w:rPr>
        <w:t>01.</w:t>
      </w:r>
      <w:r w:rsidRPr="008418A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418A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418A9">
        <w:rPr>
          <w:sz w:val="28"/>
          <w:szCs w:val="28"/>
        </w:rPr>
        <w:t xml:space="preserve"> года в городе зарегистрировано </w:t>
      </w:r>
      <w:r>
        <w:rPr>
          <w:sz w:val="28"/>
          <w:szCs w:val="28"/>
        </w:rPr>
        <w:t xml:space="preserve">8669 </w:t>
      </w:r>
      <w:r w:rsidRPr="008418A9">
        <w:rPr>
          <w:sz w:val="28"/>
          <w:szCs w:val="28"/>
        </w:rPr>
        <w:t>самозанятых граждан.</w:t>
      </w:r>
      <w:r>
        <w:rPr>
          <w:sz w:val="28"/>
          <w:szCs w:val="28"/>
        </w:rPr>
        <w:t xml:space="preserve"> </w:t>
      </w:r>
    </w:p>
    <w:p w:rsidR="00B233C7" w:rsidRDefault="00B233C7" w:rsidP="00667AC4">
      <w:pPr>
        <w:pStyle w:val="Style17"/>
        <w:widowControl/>
        <w:tabs>
          <w:tab w:val="left" w:pos="684"/>
          <w:tab w:val="left" w:pos="9923"/>
        </w:tabs>
        <w:spacing w:line="240" w:lineRule="auto"/>
        <w:ind w:right="140" w:firstLine="709"/>
        <w:rPr>
          <w:sz w:val="28"/>
          <w:szCs w:val="28"/>
        </w:rPr>
      </w:pPr>
      <w:r w:rsidRPr="00EC2DF9">
        <w:rPr>
          <w:sz w:val="28"/>
          <w:szCs w:val="28"/>
        </w:rPr>
        <w:lastRenderedPageBreak/>
        <w:t>В 2</w:t>
      </w:r>
      <w:r>
        <w:rPr>
          <w:sz w:val="28"/>
          <w:szCs w:val="28"/>
        </w:rPr>
        <w:t>025 - 2027</w:t>
      </w:r>
      <w:r w:rsidRPr="00EC2DF9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с учетом введенных внешних санкций прогнозируется следующий уровень показателя в 2025</w:t>
      </w:r>
      <w:r w:rsidRPr="00EC2DF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26,2%; в 2026 году – 26,4%; в 2027 году – 26,6%.</w:t>
      </w:r>
      <w:r w:rsidRPr="00016173">
        <w:rPr>
          <w:sz w:val="28"/>
          <w:szCs w:val="28"/>
        </w:rPr>
        <w:t xml:space="preserve"> </w:t>
      </w:r>
    </w:p>
    <w:p w:rsidR="00AA40BF" w:rsidRPr="007F73EE" w:rsidRDefault="00AA40BF" w:rsidP="00667AC4">
      <w:pPr>
        <w:ind w:right="282"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3C4EF9" w:rsidRPr="00C24401" w:rsidRDefault="003C4EF9" w:rsidP="00667AC4">
      <w:pPr>
        <w:tabs>
          <w:tab w:val="left" w:pos="709"/>
          <w:tab w:val="left" w:pos="9923"/>
        </w:tabs>
        <w:ind w:firstLine="709"/>
        <w:jc w:val="both"/>
        <w:rPr>
          <w:sz w:val="28"/>
          <w:szCs w:val="28"/>
        </w:rPr>
      </w:pPr>
      <w:r w:rsidRPr="00C24401">
        <w:rPr>
          <w:b/>
          <w:sz w:val="28"/>
          <w:szCs w:val="28"/>
        </w:rPr>
        <w:t>Показатель 3. Объём инвестиций в основной капитал (за исключением бюджетных средств) в расчете на 1 жителя</w:t>
      </w:r>
      <w:r w:rsidRPr="00C24401">
        <w:rPr>
          <w:sz w:val="28"/>
          <w:szCs w:val="28"/>
        </w:rPr>
        <w:t>.</w:t>
      </w:r>
    </w:p>
    <w:p w:rsidR="00051F07" w:rsidRPr="00E90AF7" w:rsidRDefault="00051F07" w:rsidP="00667AC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AF7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4</w:t>
      </w:r>
      <w:r w:rsidRPr="00E90AF7">
        <w:rPr>
          <w:rFonts w:eastAsia="Calibri"/>
          <w:sz w:val="28"/>
          <w:szCs w:val="28"/>
          <w:lang w:eastAsia="en-US"/>
        </w:rPr>
        <w:t xml:space="preserve"> году значение показателя «Объём инвестиций в основной капитал (за исключением бюджетных средств) в расчете на 1 жителя» составил </w:t>
      </w:r>
      <w:r>
        <w:rPr>
          <w:rFonts w:eastAsia="Calibri"/>
          <w:sz w:val="28"/>
          <w:szCs w:val="28"/>
          <w:lang w:eastAsia="en-US"/>
        </w:rPr>
        <w:t>112612,8</w:t>
      </w:r>
      <w:r w:rsidRPr="00E90AF7">
        <w:rPr>
          <w:rFonts w:eastAsia="Calibri"/>
          <w:sz w:val="28"/>
          <w:szCs w:val="28"/>
          <w:lang w:eastAsia="en-US"/>
        </w:rPr>
        <w:t xml:space="preserve"> руб.,</w:t>
      </w:r>
      <w:r>
        <w:rPr>
          <w:rFonts w:eastAsia="Calibri"/>
          <w:sz w:val="28"/>
          <w:szCs w:val="28"/>
          <w:lang w:eastAsia="en-US"/>
        </w:rPr>
        <w:t xml:space="preserve"> темп роста 105</w:t>
      </w:r>
      <w:r w:rsidRPr="00E90AF7">
        <w:rPr>
          <w:rFonts w:eastAsia="Calibri"/>
          <w:sz w:val="28"/>
          <w:szCs w:val="28"/>
          <w:lang w:eastAsia="en-US"/>
        </w:rPr>
        <w:t>% по сравн</w:t>
      </w:r>
      <w:r>
        <w:rPr>
          <w:rFonts w:eastAsia="Calibri"/>
          <w:sz w:val="28"/>
          <w:szCs w:val="28"/>
          <w:lang w:eastAsia="en-US"/>
        </w:rPr>
        <w:t>ению с аналогичным периодом 2023</w:t>
      </w:r>
      <w:r w:rsidRPr="00E90AF7">
        <w:rPr>
          <w:rFonts w:eastAsia="Calibri"/>
          <w:sz w:val="28"/>
          <w:szCs w:val="28"/>
          <w:lang w:eastAsia="en-US"/>
        </w:rPr>
        <w:t xml:space="preserve"> года –</w:t>
      </w:r>
      <w:r>
        <w:rPr>
          <w:rFonts w:eastAsia="Calibri"/>
          <w:sz w:val="28"/>
          <w:szCs w:val="28"/>
          <w:lang w:eastAsia="en-US"/>
        </w:rPr>
        <w:t xml:space="preserve"> 106913,5</w:t>
      </w:r>
      <w:r w:rsidRPr="00E90AF7">
        <w:rPr>
          <w:rFonts w:eastAsia="Calibri"/>
          <w:sz w:val="28"/>
          <w:szCs w:val="28"/>
          <w:lang w:eastAsia="en-US"/>
        </w:rPr>
        <w:t xml:space="preserve"> руб.</w:t>
      </w:r>
      <w:r>
        <w:rPr>
          <w:rFonts w:eastAsia="Calibri"/>
          <w:sz w:val="28"/>
          <w:szCs w:val="28"/>
          <w:lang w:eastAsia="en-US"/>
        </w:rPr>
        <w:t xml:space="preserve"> (в 2022 году</w:t>
      </w:r>
      <w:r w:rsidRPr="00E90AF7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0AF7">
        <w:rPr>
          <w:rFonts w:eastAsia="Calibri"/>
          <w:sz w:val="28"/>
          <w:szCs w:val="28"/>
          <w:lang w:eastAsia="en-US"/>
        </w:rPr>
        <w:t>60709,53 руб.</w:t>
      </w:r>
      <w:r>
        <w:rPr>
          <w:rFonts w:eastAsia="Calibri"/>
          <w:sz w:val="28"/>
          <w:szCs w:val="28"/>
          <w:lang w:eastAsia="en-US"/>
        </w:rPr>
        <w:t>)</w:t>
      </w:r>
    </w:p>
    <w:p w:rsidR="00051F07" w:rsidRPr="00E90AF7" w:rsidRDefault="00051F0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Объём инвестиций за 2024</w:t>
      </w:r>
      <w:r w:rsidRPr="00E90AF7">
        <w:rPr>
          <w:sz w:val="28"/>
          <w:szCs w:val="28"/>
          <w:lang w:eastAsia="ru-RU"/>
        </w:rPr>
        <w:t xml:space="preserve"> год по крупным и средним предприятиям составил </w:t>
      </w:r>
      <w:r>
        <w:rPr>
          <w:sz w:val="28"/>
          <w:szCs w:val="28"/>
          <w:lang w:eastAsia="ru-RU"/>
        </w:rPr>
        <w:t>9023,</w:t>
      </w:r>
      <w:r w:rsidR="00CB50A3">
        <w:rPr>
          <w:sz w:val="28"/>
          <w:szCs w:val="28"/>
          <w:lang w:eastAsia="ru-RU"/>
        </w:rPr>
        <w:t>213</w:t>
      </w:r>
      <w:r w:rsidR="00CB50A3" w:rsidRPr="00E90AF7">
        <w:rPr>
          <w:sz w:val="28"/>
          <w:szCs w:val="28"/>
          <w:lang w:eastAsia="ru-RU"/>
        </w:rPr>
        <w:t xml:space="preserve"> млн.</w:t>
      </w:r>
      <w:r w:rsidRPr="00E90AF7">
        <w:rPr>
          <w:sz w:val="28"/>
          <w:szCs w:val="28"/>
          <w:lang w:eastAsia="ru-RU"/>
        </w:rPr>
        <w:t xml:space="preserve"> рублей</w:t>
      </w:r>
      <w:r>
        <w:rPr>
          <w:sz w:val="28"/>
          <w:szCs w:val="28"/>
          <w:lang w:eastAsia="ru-RU"/>
        </w:rPr>
        <w:t xml:space="preserve"> </w:t>
      </w:r>
      <w:r w:rsidRPr="00E90AF7">
        <w:rPr>
          <w:rFonts w:eastAsia="Calibri"/>
          <w:sz w:val="28"/>
          <w:szCs w:val="28"/>
          <w:lang w:eastAsia="en-US"/>
        </w:rPr>
        <w:t>(за исключением бюджетных средств</w:t>
      </w:r>
      <w:r>
        <w:rPr>
          <w:rFonts w:eastAsia="Calibri"/>
          <w:sz w:val="28"/>
          <w:szCs w:val="28"/>
          <w:lang w:eastAsia="en-US"/>
        </w:rPr>
        <w:t>).</w:t>
      </w:r>
      <w:r w:rsidRPr="00E90AF7">
        <w:rPr>
          <w:sz w:val="28"/>
          <w:szCs w:val="28"/>
          <w:lang w:eastAsia="ru-RU"/>
        </w:rPr>
        <w:t xml:space="preserve"> </w:t>
      </w:r>
    </w:p>
    <w:p w:rsidR="00CB50A3" w:rsidRPr="00CB50A3" w:rsidRDefault="00CB50A3" w:rsidP="00667AC4">
      <w:pPr>
        <w:ind w:firstLine="709"/>
        <w:jc w:val="both"/>
        <w:rPr>
          <w:iCs/>
          <w:sz w:val="28"/>
          <w:szCs w:val="28"/>
          <w:lang w:eastAsia="ru-RU"/>
        </w:rPr>
      </w:pPr>
      <w:r w:rsidRPr="00CB50A3">
        <w:rPr>
          <w:sz w:val="28"/>
          <w:szCs w:val="28"/>
          <w:lang w:eastAsia="ru-RU"/>
        </w:rPr>
        <w:t>О</w:t>
      </w:r>
      <w:r w:rsidRPr="00CB50A3">
        <w:rPr>
          <w:iCs/>
          <w:sz w:val="28"/>
          <w:szCs w:val="28"/>
          <w:lang w:eastAsia="ru-RU"/>
        </w:rPr>
        <w:t>сновным направлением инвестирования в городе Азове традиционно остаются организации и предприятия с видом деятельности «Обрабатывающие производства», в том числе:</w:t>
      </w:r>
    </w:p>
    <w:p w:rsidR="00CB50A3" w:rsidRPr="00CB50A3" w:rsidRDefault="00CB50A3" w:rsidP="00667AC4">
      <w:pPr>
        <w:pStyle w:val="aa"/>
        <w:numPr>
          <w:ilvl w:val="0"/>
          <w:numId w:val="3"/>
        </w:numPr>
        <w:tabs>
          <w:tab w:val="left" w:pos="426"/>
        </w:tabs>
        <w:suppressAutoHyphens w:val="0"/>
        <w:ind w:left="993" w:right="-1" w:hanging="284"/>
        <w:jc w:val="both"/>
        <w:rPr>
          <w:sz w:val="28"/>
          <w:szCs w:val="28"/>
          <w:lang w:eastAsia="ru-RU"/>
        </w:rPr>
      </w:pPr>
      <w:r w:rsidRPr="00CB50A3">
        <w:rPr>
          <w:sz w:val="28"/>
          <w:szCs w:val="28"/>
        </w:rPr>
        <w:t>«производство пищевых продуктов»;</w:t>
      </w:r>
    </w:p>
    <w:p w:rsidR="00CB50A3" w:rsidRPr="00CB50A3" w:rsidRDefault="00CB50A3" w:rsidP="00667AC4">
      <w:pPr>
        <w:pStyle w:val="aa"/>
        <w:numPr>
          <w:ilvl w:val="0"/>
          <w:numId w:val="3"/>
        </w:numPr>
        <w:tabs>
          <w:tab w:val="left" w:pos="426"/>
        </w:tabs>
        <w:suppressAutoHyphens w:val="0"/>
        <w:ind w:left="993" w:right="-1" w:hanging="284"/>
        <w:jc w:val="both"/>
        <w:rPr>
          <w:sz w:val="28"/>
          <w:szCs w:val="28"/>
          <w:lang w:eastAsia="ru-RU"/>
        </w:rPr>
      </w:pPr>
      <w:r w:rsidRPr="00CB50A3">
        <w:rPr>
          <w:sz w:val="28"/>
          <w:szCs w:val="28"/>
        </w:rPr>
        <w:t xml:space="preserve">«производство резиновых и пластмассовых изделий»;  </w:t>
      </w:r>
    </w:p>
    <w:p w:rsidR="00CB50A3" w:rsidRPr="00CB50A3" w:rsidRDefault="00CB50A3" w:rsidP="00667AC4">
      <w:pPr>
        <w:pStyle w:val="aa"/>
        <w:numPr>
          <w:ilvl w:val="0"/>
          <w:numId w:val="3"/>
        </w:numPr>
        <w:tabs>
          <w:tab w:val="left" w:pos="426"/>
        </w:tabs>
        <w:suppressAutoHyphens w:val="0"/>
        <w:ind w:left="993" w:right="-1" w:hanging="284"/>
        <w:jc w:val="both"/>
        <w:rPr>
          <w:sz w:val="28"/>
          <w:szCs w:val="28"/>
          <w:lang w:eastAsia="ru-RU"/>
        </w:rPr>
      </w:pPr>
      <w:r w:rsidRPr="00CB50A3">
        <w:rPr>
          <w:sz w:val="28"/>
          <w:szCs w:val="28"/>
        </w:rPr>
        <w:t>«производство автотранспортных средств, прицепов и полуприцепов»;</w:t>
      </w:r>
    </w:p>
    <w:p w:rsidR="00CB50A3" w:rsidRPr="00CB50A3" w:rsidRDefault="00CB50A3" w:rsidP="00667AC4">
      <w:pPr>
        <w:pStyle w:val="aa"/>
        <w:numPr>
          <w:ilvl w:val="0"/>
          <w:numId w:val="3"/>
        </w:numPr>
        <w:tabs>
          <w:tab w:val="left" w:pos="426"/>
        </w:tabs>
        <w:suppressAutoHyphens w:val="0"/>
        <w:ind w:left="993" w:right="-1" w:hanging="284"/>
        <w:jc w:val="both"/>
        <w:rPr>
          <w:sz w:val="28"/>
          <w:szCs w:val="28"/>
          <w:lang w:eastAsia="ru-RU"/>
        </w:rPr>
      </w:pPr>
      <w:r w:rsidRPr="00CB50A3">
        <w:rPr>
          <w:sz w:val="28"/>
          <w:szCs w:val="28"/>
          <w:lang w:eastAsia="ru-RU"/>
        </w:rPr>
        <w:t>«обеспечение электрической энергией, газом и паром, кондиционирование воздуха».</w:t>
      </w:r>
    </w:p>
    <w:p w:rsidR="00051F07" w:rsidRPr="00E90AF7" w:rsidRDefault="00051F07" w:rsidP="00667AC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90AF7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>а 2024</w:t>
      </w:r>
      <w:r w:rsidRPr="00E90AF7">
        <w:rPr>
          <w:sz w:val="28"/>
          <w:szCs w:val="28"/>
          <w:lang w:eastAsia="ru-RU"/>
        </w:rPr>
        <w:t xml:space="preserve"> основные капитальные вложения направлены на реконструкцию и техническое перевооружение предприятий обрабатывающих производств, в том числе АПК.</w:t>
      </w:r>
    </w:p>
    <w:p w:rsidR="00051F07" w:rsidRPr="00E90AF7" w:rsidRDefault="00051F07" w:rsidP="00667AC4">
      <w:pPr>
        <w:suppressAutoHyphens w:val="0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К</w:t>
      </w:r>
      <w:r w:rsidRPr="00E90AF7">
        <w:rPr>
          <w:sz w:val="28"/>
          <w:szCs w:val="28"/>
          <w:lang w:eastAsia="ru-RU"/>
        </w:rPr>
        <w:t xml:space="preserve">апитальные вложения направлены </w:t>
      </w:r>
      <w:r w:rsidRPr="00E90AF7">
        <w:rPr>
          <w:sz w:val="28"/>
          <w:szCs w:val="28"/>
          <w:lang w:val="x-none" w:eastAsia="x-none"/>
        </w:rPr>
        <w:t xml:space="preserve">на </w:t>
      </w:r>
      <w:r>
        <w:rPr>
          <w:sz w:val="28"/>
          <w:szCs w:val="28"/>
          <w:lang w:eastAsia="x-none"/>
        </w:rPr>
        <w:t>модернизацию производственных линий</w:t>
      </w:r>
      <w:r w:rsidRPr="00E90AF7">
        <w:rPr>
          <w:sz w:val="28"/>
          <w:szCs w:val="28"/>
          <w:lang w:val="x-none" w:eastAsia="x-none"/>
        </w:rPr>
        <w:t xml:space="preserve"> Акционерного общества «Азовский хлеб»</w:t>
      </w:r>
      <w:r>
        <w:rPr>
          <w:sz w:val="28"/>
          <w:szCs w:val="28"/>
          <w:lang w:eastAsia="x-none"/>
        </w:rPr>
        <w:t>;</w:t>
      </w:r>
      <w:r w:rsidRPr="00E90AF7">
        <w:rPr>
          <w:sz w:val="28"/>
          <w:szCs w:val="28"/>
          <w:lang w:val="x-none" w:eastAsia="x-none"/>
        </w:rPr>
        <w:t xml:space="preserve"> на </w:t>
      </w:r>
      <w:r>
        <w:rPr>
          <w:sz w:val="28"/>
          <w:szCs w:val="28"/>
          <w:lang w:eastAsia="x-none"/>
        </w:rPr>
        <w:t>основные средства</w:t>
      </w:r>
      <w:r w:rsidRPr="00E90AF7">
        <w:rPr>
          <w:sz w:val="28"/>
          <w:szCs w:val="28"/>
          <w:lang w:val="x-none" w:eastAsia="x-none"/>
        </w:rPr>
        <w:t xml:space="preserve"> ООО ПКФ «Проксима» (суммарно с ООО «Проксима-Пласт»)</w:t>
      </w:r>
      <w:r>
        <w:rPr>
          <w:sz w:val="28"/>
          <w:szCs w:val="28"/>
          <w:lang w:eastAsia="x-none"/>
        </w:rPr>
        <w:t>;</w:t>
      </w:r>
      <w:r w:rsidRPr="00E90AF7">
        <w:rPr>
          <w:color w:val="FF0000"/>
          <w:sz w:val="28"/>
          <w:szCs w:val="28"/>
          <w:lang w:eastAsia="x-none"/>
        </w:rPr>
        <w:t xml:space="preserve"> </w:t>
      </w:r>
      <w:r w:rsidRPr="00E90AF7">
        <w:rPr>
          <w:sz w:val="28"/>
          <w:szCs w:val="28"/>
          <w:lang w:val="x-none" w:eastAsia="x-none"/>
        </w:rPr>
        <w:t xml:space="preserve">на </w:t>
      </w:r>
      <w:r w:rsidRPr="00E90AF7">
        <w:rPr>
          <w:sz w:val="28"/>
          <w:szCs w:val="28"/>
          <w:lang w:eastAsia="x-none"/>
        </w:rPr>
        <w:t xml:space="preserve">строения, сооружения и </w:t>
      </w:r>
      <w:r w:rsidRPr="00E90AF7">
        <w:rPr>
          <w:sz w:val="28"/>
          <w:szCs w:val="28"/>
          <w:lang w:val="x-none" w:eastAsia="x-none"/>
        </w:rPr>
        <w:t>модернизацию производствен</w:t>
      </w:r>
      <w:r>
        <w:rPr>
          <w:sz w:val="28"/>
          <w:szCs w:val="28"/>
          <w:lang w:val="x-none" w:eastAsia="x-none"/>
        </w:rPr>
        <w:t xml:space="preserve">ных мощностей ООО «Ласенор </w:t>
      </w:r>
      <w:r>
        <w:rPr>
          <w:sz w:val="28"/>
          <w:szCs w:val="28"/>
          <w:lang w:eastAsia="x-none"/>
        </w:rPr>
        <w:t>Юг</w:t>
      </w:r>
      <w:r w:rsidRPr="00E90AF7">
        <w:rPr>
          <w:sz w:val="28"/>
          <w:szCs w:val="28"/>
          <w:lang w:val="x-none" w:eastAsia="x-none"/>
        </w:rPr>
        <w:t>»</w:t>
      </w:r>
      <w:r>
        <w:rPr>
          <w:sz w:val="28"/>
          <w:szCs w:val="28"/>
          <w:lang w:eastAsia="x-none"/>
        </w:rPr>
        <w:t>;</w:t>
      </w:r>
      <w:r w:rsidRPr="00FD4A36">
        <w:rPr>
          <w:sz w:val="28"/>
          <w:szCs w:val="28"/>
          <w:lang w:val="x-none" w:eastAsia="x-none"/>
        </w:rPr>
        <w:t xml:space="preserve"> </w:t>
      </w:r>
      <w:r w:rsidRPr="00E90AF7">
        <w:rPr>
          <w:sz w:val="28"/>
          <w:szCs w:val="28"/>
          <w:lang w:val="x-none" w:eastAsia="x-none"/>
        </w:rPr>
        <w:t>на основные средства ООО «Азовская кондитерская фабрика»</w:t>
      </w:r>
      <w:r>
        <w:rPr>
          <w:sz w:val="28"/>
          <w:szCs w:val="28"/>
          <w:lang w:eastAsia="x-none"/>
        </w:rPr>
        <w:t>,</w:t>
      </w:r>
      <w:r w:rsidRPr="00E90AF7">
        <w:rPr>
          <w:sz w:val="28"/>
          <w:szCs w:val="28"/>
          <w:lang w:eastAsia="x-none"/>
        </w:rPr>
        <w:t xml:space="preserve"> </w:t>
      </w:r>
      <w:r w:rsidRPr="00E90AF7">
        <w:rPr>
          <w:sz w:val="28"/>
          <w:szCs w:val="28"/>
          <w:lang w:eastAsia="ru-RU"/>
        </w:rPr>
        <w:t>ООО «Азовская швейная фабрика № 13»</w:t>
      </w:r>
      <w:r>
        <w:rPr>
          <w:sz w:val="28"/>
          <w:szCs w:val="28"/>
          <w:lang w:eastAsia="ru-RU"/>
        </w:rPr>
        <w:t>,</w:t>
      </w:r>
      <w:r w:rsidRPr="00E90A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ООО «ПИК-КОМПОЗИТ»,</w:t>
      </w:r>
      <w:r w:rsidRPr="00E90AF7">
        <w:rPr>
          <w:sz w:val="28"/>
          <w:szCs w:val="28"/>
          <w:lang w:eastAsia="ru-RU"/>
        </w:rPr>
        <w:t xml:space="preserve"> А</w:t>
      </w:r>
      <w:r>
        <w:rPr>
          <w:sz w:val="28"/>
          <w:szCs w:val="28"/>
          <w:lang w:eastAsia="ru-RU"/>
        </w:rPr>
        <w:t>О</w:t>
      </w:r>
      <w:r w:rsidR="00CB50A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«Азовская судоверфь»</w:t>
      </w:r>
      <w:r w:rsidRPr="00E90AF7">
        <w:rPr>
          <w:sz w:val="28"/>
          <w:szCs w:val="28"/>
          <w:lang w:eastAsia="ru-RU"/>
        </w:rPr>
        <w:t>.</w:t>
      </w:r>
    </w:p>
    <w:p w:rsidR="00051F07" w:rsidRPr="00E90AF7" w:rsidRDefault="00051F07" w:rsidP="00667AC4">
      <w:pPr>
        <w:suppressAutoHyphens w:val="0"/>
        <w:ind w:firstLine="709"/>
        <w:jc w:val="both"/>
        <w:rPr>
          <w:color w:val="FF0000"/>
          <w:sz w:val="28"/>
          <w:szCs w:val="28"/>
          <w:lang w:eastAsia="x-none"/>
        </w:rPr>
      </w:pPr>
      <w:r w:rsidRPr="00E90AF7">
        <w:rPr>
          <w:sz w:val="28"/>
          <w:szCs w:val="28"/>
          <w:lang w:eastAsia="ru-RU"/>
        </w:rPr>
        <w:t>На период до 2025 года в целях обеспечения программы выпуска изделий, предусмотренных в рамках проектов по федеральной целевой программы, планируется «Техническое перевооружение и реконструкция производственных мощностей» нацеленной на исполнение</w:t>
      </w:r>
      <w:r w:rsidRPr="00E90AF7">
        <w:rPr>
          <w:color w:val="FF0000"/>
          <w:sz w:val="28"/>
          <w:szCs w:val="28"/>
          <w:lang w:eastAsia="ru-RU"/>
        </w:rPr>
        <w:t xml:space="preserve"> </w:t>
      </w:r>
      <w:r w:rsidRPr="00E90AF7">
        <w:rPr>
          <w:sz w:val="28"/>
          <w:szCs w:val="28"/>
          <w:lang w:eastAsia="ru-RU"/>
        </w:rPr>
        <w:t xml:space="preserve">гособоронзаказа в рамках ГП ОПК (гос. программы оборонно-промышленного комплекса (АО «АОМЗ»). </w:t>
      </w:r>
    </w:p>
    <w:p w:rsidR="00051F07" w:rsidRPr="00E90AF7" w:rsidRDefault="00051F07" w:rsidP="00667AC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объё</w:t>
      </w:r>
      <w:r w:rsidRPr="00E90AF7">
        <w:rPr>
          <w:sz w:val="28"/>
          <w:szCs w:val="28"/>
        </w:rPr>
        <w:t xml:space="preserve">м инвестиций также, связан с реализацией крупных инвестиционных проектов, таких как: </w:t>
      </w:r>
    </w:p>
    <w:p w:rsidR="00051F07" w:rsidRPr="00E90AF7" w:rsidRDefault="00051F07" w:rsidP="00667AC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336932">
        <w:rPr>
          <w:b/>
          <w:sz w:val="28"/>
          <w:szCs w:val="28"/>
          <w:lang w:eastAsia="ru-RU"/>
        </w:rPr>
        <w:t>-</w:t>
      </w:r>
      <w:r w:rsidRPr="00E90AF7">
        <w:rPr>
          <w:sz w:val="28"/>
          <w:szCs w:val="28"/>
          <w:lang w:eastAsia="ru-RU"/>
        </w:rPr>
        <w:t xml:space="preserve"> Реализация инвестиционного проекта строительство 2-го этапа Азовского Зернового Терминального Комплекса (АЗТК) (Филиал ООО «ТД «РИФ»);</w:t>
      </w:r>
      <w:r w:rsidRPr="00E90AF7">
        <w:rPr>
          <w:b/>
          <w:sz w:val="28"/>
          <w:szCs w:val="28"/>
          <w:lang w:eastAsia="ru-RU"/>
        </w:rPr>
        <w:t xml:space="preserve"> </w:t>
      </w:r>
    </w:p>
    <w:p w:rsidR="00051F07" w:rsidRDefault="00CB50A3" w:rsidP="00667AC4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sz w:val="28"/>
          <w:szCs w:val="28"/>
          <w:lang w:eastAsia="ru-RU"/>
        </w:rPr>
        <w:t xml:space="preserve">- </w:t>
      </w:r>
      <w:r w:rsidR="00051F07" w:rsidRPr="00E90AF7">
        <w:rPr>
          <w:sz w:val="28"/>
          <w:szCs w:val="28"/>
          <w:lang w:eastAsia="ru-RU"/>
        </w:rPr>
        <w:t>ООО «Азов-Тэк» реализация инвестиционного проекта по строительству 2 этапа нового завода по выпуску изделий машиностроения и металлообработки в г. Азове по ул. Победы 35-Ж;</w:t>
      </w:r>
      <w:r w:rsidR="00051F07" w:rsidRPr="00B06D34">
        <w:rPr>
          <w:color w:val="000000"/>
          <w:sz w:val="20"/>
          <w:szCs w:val="20"/>
        </w:rPr>
        <w:t xml:space="preserve"> </w:t>
      </w:r>
    </w:p>
    <w:p w:rsidR="00051F07" w:rsidRPr="00E90AF7" w:rsidRDefault="00CB50A3" w:rsidP="00667AC4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0"/>
          <w:szCs w:val="20"/>
        </w:rPr>
        <w:lastRenderedPageBreak/>
        <w:t>-</w:t>
      </w:r>
      <w:r w:rsidR="00051F07">
        <w:rPr>
          <w:color w:val="000000"/>
          <w:sz w:val="20"/>
          <w:szCs w:val="20"/>
        </w:rPr>
        <w:t xml:space="preserve"> </w:t>
      </w:r>
      <w:r w:rsidR="00051F07" w:rsidRPr="00B06D34">
        <w:rPr>
          <w:sz w:val="28"/>
          <w:szCs w:val="28"/>
          <w:lang w:eastAsia="ru-RU"/>
        </w:rPr>
        <w:t>Строительство нового цеха для организации производства пищевых эмульгаторов и увеличения производительности до 8000 тонн в год на территории дей</w:t>
      </w:r>
      <w:r w:rsidR="005966A4">
        <w:rPr>
          <w:sz w:val="28"/>
          <w:szCs w:val="28"/>
          <w:lang w:eastAsia="ru-RU"/>
        </w:rPr>
        <w:t>ствующего предприятия компании «Ласенор Юг»</w:t>
      </w:r>
      <w:r w:rsidR="00051F07" w:rsidRPr="00B06D34">
        <w:rPr>
          <w:sz w:val="28"/>
          <w:szCs w:val="28"/>
          <w:lang w:eastAsia="ru-RU"/>
        </w:rPr>
        <w:t xml:space="preserve"> в г. Азове Ростовской области, нового офисного помещения, а также дополнительной инженерной и транспортной инфраструктуры</w:t>
      </w:r>
      <w:r w:rsidR="00051F07">
        <w:rPr>
          <w:sz w:val="28"/>
          <w:szCs w:val="28"/>
          <w:lang w:eastAsia="ru-RU"/>
        </w:rPr>
        <w:t>.</w:t>
      </w:r>
    </w:p>
    <w:p w:rsidR="00051F07" w:rsidRDefault="00051F07" w:rsidP="00667AC4">
      <w:pPr>
        <w:autoSpaceDE w:val="0"/>
        <w:ind w:firstLine="720"/>
        <w:jc w:val="both"/>
        <w:rPr>
          <w:iCs/>
          <w:sz w:val="28"/>
          <w:szCs w:val="28"/>
        </w:rPr>
      </w:pPr>
      <w:r w:rsidRPr="000F687B">
        <w:rPr>
          <w:sz w:val="28"/>
          <w:szCs w:val="28"/>
        </w:rPr>
        <w:t xml:space="preserve">Инвестиций в основной </w:t>
      </w:r>
      <w:r w:rsidR="00CB50A3" w:rsidRPr="000F687B">
        <w:rPr>
          <w:sz w:val="28"/>
          <w:szCs w:val="28"/>
        </w:rPr>
        <w:t>капитал</w:t>
      </w:r>
      <w:r w:rsidR="00CB50A3">
        <w:rPr>
          <w:b/>
          <w:sz w:val="28"/>
          <w:szCs w:val="28"/>
        </w:rPr>
        <w:t xml:space="preserve"> </w:t>
      </w:r>
      <w:r w:rsidR="00CB50A3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развитие экономики и социальной сферы города за 2024 год крупными и средними предприятиями и организациями использовано 11428,9 млн. рублей (103,2% к объему инвестиций прошлого года).</w:t>
      </w:r>
      <w:r>
        <w:rPr>
          <w:iCs/>
          <w:sz w:val="28"/>
          <w:szCs w:val="28"/>
        </w:rPr>
        <w:t xml:space="preserve"> Основным направлением инвестирования являются организации и предприятия с видом деятельности «Транспортировка и хранение» - 5007,7 млн. рублей (43,8% от общего объема); «Обрабатывающие производства» - 3288,8 млн. рублей (удельный вес 28,8% от общего объема);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- 1644,0 млн. рублей (14,4% от общего объема). </w:t>
      </w:r>
      <w:r>
        <w:rPr>
          <w:sz w:val="28"/>
          <w:szCs w:val="28"/>
        </w:rPr>
        <w:t>В структуре обрабатывающих производств инвестиции в производство пищевых продуктов</w:t>
      </w:r>
      <w:r>
        <w:rPr>
          <w:iCs/>
          <w:sz w:val="28"/>
          <w:szCs w:val="28"/>
        </w:rPr>
        <w:t xml:space="preserve"> составили 1024,2 млн. рублей (106,8% к 2023 г.), производство резиновых и пластмассовых изделий – 379,4 млн. рублей (107,8% к 2023 г.)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</w:t>
      </w:r>
    </w:p>
    <w:p w:rsidR="00051F07" w:rsidRDefault="00051F07" w:rsidP="00667AC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видовой структуре инвестиций вложения в прочие машины и оборудование составляют 4603,6 млн. рублей (40,3</w:t>
      </w:r>
      <w:r w:rsidR="006B107B">
        <w:rPr>
          <w:sz w:val="28"/>
          <w:szCs w:val="28"/>
        </w:rPr>
        <w:t>%), транспортные</w:t>
      </w:r>
      <w:r>
        <w:rPr>
          <w:sz w:val="28"/>
          <w:szCs w:val="28"/>
        </w:rPr>
        <w:t xml:space="preserve"> средства - 3944,6 млн. рублей (34,5%), здания (кроме жилых) -1892,1 млн. рублей (удельный вес 16,6%), сооружения – 787,8 млн. рублей (удельный вес 6,9%).</w:t>
      </w:r>
    </w:p>
    <w:p w:rsidR="00051F07" w:rsidRPr="005966A4" w:rsidRDefault="00051F07" w:rsidP="00667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показателя «Объё</w:t>
      </w:r>
      <w:r w:rsidRPr="00E90AF7">
        <w:rPr>
          <w:sz w:val="28"/>
          <w:szCs w:val="28"/>
        </w:rPr>
        <w:t xml:space="preserve">м инвестиций в основной капитал (за исключением бюджетных средств) в расчете на 1 жителя» в </w:t>
      </w:r>
      <w:r>
        <w:rPr>
          <w:sz w:val="28"/>
          <w:szCs w:val="28"/>
        </w:rPr>
        <w:t xml:space="preserve">2025-2027 годах планируется на уровне не ниже </w:t>
      </w:r>
      <w:r w:rsidRPr="00E90AF7">
        <w:rPr>
          <w:sz w:val="28"/>
          <w:szCs w:val="28"/>
        </w:rPr>
        <w:t xml:space="preserve">– </w:t>
      </w:r>
      <w:r>
        <w:rPr>
          <w:sz w:val="28"/>
          <w:szCs w:val="28"/>
        </w:rPr>
        <w:t>112612,8 рублей.</w:t>
      </w:r>
    </w:p>
    <w:p w:rsidR="00AA40BF" w:rsidRPr="007F73EE" w:rsidRDefault="00AA40BF" w:rsidP="00667AC4">
      <w:pPr>
        <w:suppressAutoHyphens w:val="0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041028" w:rsidRPr="00EE12F2" w:rsidRDefault="00AA40BF" w:rsidP="00667AC4">
      <w:pPr>
        <w:ind w:firstLine="709"/>
        <w:jc w:val="both"/>
      </w:pPr>
      <w:r w:rsidRPr="00EE12F2">
        <w:rPr>
          <w:b/>
          <w:sz w:val="28"/>
          <w:szCs w:val="28"/>
        </w:rPr>
        <w:t>Показатель 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</w:t>
      </w:r>
      <w:r w:rsidRPr="00EE12F2">
        <w:rPr>
          <w:sz w:val="28"/>
          <w:szCs w:val="28"/>
        </w:rPr>
        <w:t>).</w:t>
      </w:r>
      <w:r w:rsidR="00041028" w:rsidRPr="00EE12F2">
        <w:tab/>
      </w:r>
    </w:p>
    <w:p w:rsidR="00AA40BF" w:rsidRPr="00D754AA" w:rsidRDefault="00EE12F2" w:rsidP="00667AC4">
      <w:pPr>
        <w:ind w:firstLine="708"/>
        <w:jc w:val="both"/>
        <w:rPr>
          <w:sz w:val="28"/>
        </w:rPr>
      </w:pPr>
      <w:r>
        <w:rPr>
          <w:sz w:val="28"/>
        </w:rPr>
        <w:t>Доля площади земельных участков, являющихся объектами налогообложения земельным налогом, в обще</w:t>
      </w:r>
      <w:r w:rsidR="00CE0512">
        <w:rPr>
          <w:sz w:val="28"/>
        </w:rPr>
        <w:t xml:space="preserve">й площади территории города в </w:t>
      </w:r>
      <w:r>
        <w:rPr>
          <w:sz w:val="28"/>
        </w:rPr>
        <w:t>2022 году -</w:t>
      </w:r>
      <w:r>
        <w:rPr>
          <w:sz w:val="28"/>
        </w:rPr>
        <w:t xml:space="preserve"> </w:t>
      </w:r>
      <w:r>
        <w:rPr>
          <w:sz w:val="28"/>
        </w:rPr>
        <w:t>95%, в 2023</w:t>
      </w:r>
      <w:r w:rsidR="00CE0512">
        <w:rPr>
          <w:sz w:val="28"/>
        </w:rPr>
        <w:t xml:space="preserve"> году -</w:t>
      </w:r>
      <w:r>
        <w:rPr>
          <w:sz w:val="28"/>
        </w:rPr>
        <w:t xml:space="preserve"> 95%, в 2024 </w:t>
      </w:r>
      <w:r w:rsidR="00CE0512">
        <w:rPr>
          <w:sz w:val="28"/>
        </w:rPr>
        <w:t>-</w:t>
      </w:r>
      <w:r>
        <w:rPr>
          <w:sz w:val="28"/>
        </w:rPr>
        <w:t xml:space="preserve"> 95%. </w:t>
      </w:r>
      <w:r w:rsidR="00CE0512">
        <w:rPr>
          <w:sz w:val="28"/>
        </w:rPr>
        <w:t>Ведется</w:t>
      </w:r>
      <w:r>
        <w:rPr>
          <w:sz w:val="28"/>
        </w:rPr>
        <w:t xml:space="preserve"> постоянн</w:t>
      </w:r>
      <w:r w:rsidR="00CE0512">
        <w:rPr>
          <w:sz w:val="28"/>
        </w:rPr>
        <w:t>ая</w:t>
      </w:r>
      <w:r>
        <w:rPr>
          <w:sz w:val="28"/>
        </w:rPr>
        <w:t xml:space="preserve"> работ</w:t>
      </w:r>
      <w:r w:rsidR="00CE0512">
        <w:rPr>
          <w:sz w:val="28"/>
        </w:rPr>
        <w:t>а</w:t>
      </w:r>
      <w:r>
        <w:rPr>
          <w:sz w:val="28"/>
        </w:rPr>
        <w:t xml:space="preserve"> органов местного самоуправления «Город Азов» по вовлечению в хозяйственный оборот максимального количества земельных участков.  Данный показатель прогнозируется: в 2025 </w:t>
      </w:r>
      <w:r w:rsidR="00CE0512">
        <w:rPr>
          <w:sz w:val="28"/>
        </w:rPr>
        <w:t>-</w:t>
      </w:r>
      <w:r>
        <w:rPr>
          <w:sz w:val="28"/>
        </w:rPr>
        <w:t xml:space="preserve"> 95%, в 2026</w:t>
      </w:r>
      <w:r w:rsidR="00CE0512">
        <w:rPr>
          <w:sz w:val="28"/>
        </w:rPr>
        <w:t xml:space="preserve"> -</w:t>
      </w:r>
      <w:r>
        <w:rPr>
          <w:sz w:val="28"/>
        </w:rPr>
        <w:t xml:space="preserve"> 95%, в 2027 </w:t>
      </w:r>
      <w:r w:rsidR="00CE0512">
        <w:rPr>
          <w:sz w:val="28"/>
        </w:rPr>
        <w:t>-</w:t>
      </w:r>
      <w:r>
        <w:rPr>
          <w:sz w:val="28"/>
        </w:rPr>
        <w:t xml:space="preserve"> 95%.</w:t>
      </w:r>
    </w:p>
    <w:p w:rsidR="00AA40BF" w:rsidRPr="00EE12F2" w:rsidRDefault="00AA40BF" w:rsidP="00667AC4">
      <w:pPr>
        <w:ind w:firstLine="709"/>
        <w:jc w:val="both"/>
        <w:rPr>
          <w:b/>
          <w:sz w:val="28"/>
          <w:szCs w:val="28"/>
        </w:rPr>
      </w:pPr>
      <w:r w:rsidRPr="00EE12F2">
        <w:rPr>
          <w:b/>
          <w:sz w:val="28"/>
          <w:szCs w:val="28"/>
        </w:rPr>
        <w:t>Показатель 5. Доля прибыльных сельскохозяйственных организаций в общем их числе.</w:t>
      </w:r>
    </w:p>
    <w:p w:rsidR="00AA40BF" w:rsidRPr="00EE12F2" w:rsidRDefault="00AA40BF" w:rsidP="00667AC4">
      <w:pPr>
        <w:ind w:firstLine="709"/>
        <w:jc w:val="both"/>
        <w:rPr>
          <w:b/>
          <w:sz w:val="28"/>
          <w:szCs w:val="28"/>
        </w:rPr>
      </w:pPr>
      <w:r w:rsidRPr="00EE12F2">
        <w:rPr>
          <w:sz w:val="28"/>
          <w:szCs w:val="28"/>
        </w:rPr>
        <w:t>Показатель не входит в перечень показателей, заполняемых по городскому округу.</w:t>
      </w:r>
    </w:p>
    <w:p w:rsidR="00AA40BF" w:rsidRPr="007F73EE" w:rsidRDefault="00AA40BF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D71ED1" w:rsidRDefault="00AA40BF" w:rsidP="00667AC4">
      <w:pPr>
        <w:tabs>
          <w:tab w:val="left" w:pos="709"/>
          <w:tab w:val="left" w:pos="1134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87084C">
        <w:rPr>
          <w:b/>
          <w:sz w:val="28"/>
          <w:szCs w:val="28"/>
        </w:rPr>
        <w:t>Показатель 6.</w:t>
      </w:r>
      <w:r w:rsidRPr="0087084C">
        <w:rPr>
          <w:b/>
          <w:color w:val="FF0000"/>
          <w:sz w:val="28"/>
          <w:szCs w:val="28"/>
        </w:rPr>
        <w:t xml:space="preserve"> </w:t>
      </w:r>
      <w:r w:rsidRPr="0087084C">
        <w:rPr>
          <w:b/>
          <w:sz w:val="28"/>
          <w:szCs w:val="28"/>
          <w:lang w:eastAsia="ru-RU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87084C" w:rsidRPr="0087084C" w:rsidRDefault="0087084C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87084C">
        <w:rPr>
          <w:color w:val="000000"/>
          <w:sz w:val="28"/>
          <w:szCs w:val="22"/>
          <w:lang w:eastAsia="ru-RU"/>
        </w:rPr>
        <w:lastRenderedPageBreak/>
        <w:t>Значение показателя в 2024 г. – 31,6%. Снижение доли автомобильных дорог общего пользования местного значения, не отвечающих нормативным требованиям, в 2024году достигнуто за счёт следующих выполненных работ.</w:t>
      </w:r>
    </w:p>
    <w:p w:rsidR="0087084C" w:rsidRPr="0087084C" w:rsidRDefault="0087084C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87084C">
        <w:rPr>
          <w:color w:val="000000"/>
          <w:sz w:val="28"/>
          <w:szCs w:val="22"/>
          <w:lang w:eastAsia="ru-RU"/>
        </w:rPr>
        <w:t>В 2024 году обеспечено содержание улично-дорожной сети, протяженностью 162,8 км.</w:t>
      </w:r>
    </w:p>
    <w:p w:rsidR="0087084C" w:rsidRPr="0087084C" w:rsidRDefault="0087084C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87084C">
        <w:rPr>
          <w:color w:val="000000"/>
          <w:sz w:val="28"/>
          <w:szCs w:val="22"/>
          <w:lang w:eastAsia="ru-RU"/>
        </w:rPr>
        <w:t xml:space="preserve">В зимний период дорожными службами выполнялись уборка и вывоз снега с проезжей части дорог, предотвращение скользкости и обледенения. С наступлением благоприятных погодных условий проводились мероприятия по устранению вновь образовавшейся ямочности на автодорогах с асфальтобетонным покрытием (5,1 тыс. кв.м.), проведено грейдирование более дорог без твердого покрытия. В целях организации безопасности дорожного движения за отчетный период выполнены работы по содержанию 20-ти светофорных объектов, произведены работы по нанесению горизонтальной разметки пешеходных переходов площадью 9 422,2 кв. м. и осевых линий площадью 225 кв. м. В период с 01.01.2024 года по 31.12.2024 года произведена </w:t>
      </w:r>
      <w:r w:rsidR="00C22882" w:rsidRPr="0087084C">
        <w:rPr>
          <w:color w:val="000000"/>
          <w:sz w:val="28"/>
          <w:szCs w:val="22"/>
          <w:lang w:eastAsia="ru-RU"/>
        </w:rPr>
        <w:t>замена,</w:t>
      </w:r>
      <w:r w:rsidRPr="0087084C">
        <w:rPr>
          <w:color w:val="000000"/>
          <w:sz w:val="28"/>
          <w:szCs w:val="22"/>
          <w:lang w:eastAsia="ru-RU"/>
        </w:rPr>
        <w:t xml:space="preserve"> и установка 48 дорожных знаков.</w:t>
      </w:r>
    </w:p>
    <w:p w:rsidR="00C22882" w:rsidRDefault="0087084C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87084C">
        <w:rPr>
          <w:color w:val="000000"/>
          <w:sz w:val="28"/>
          <w:szCs w:val="22"/>
          <w:lang w:eastAsia="ru-RU"/>
        </w:rPr>
        <w:t>В целях создания условий для устойчивого функционирования транспортной системы города Азова и повышения скорости и безопасности передвижения пассажиров и перемещения грузов в рамках муниципальной программы города Азова «Развитие транспортной системы в городе Азове» в 2024 году выполнены работы по реконструкции автомобильной дороги в г. Азове Ростовской области:</w:t>
      </w:r>
      <w:r w:rsidR="00C22882">
        <w:rPr>
          <w:color w:val="000000"/>
          <w:sz w:val="28"/>
          <w:szCs w:val="22"/>
          <w:lang w:eastAsia="ru-RU"/>
        </w:rPr>
        <w:t xml:space="preserve"> </w:t>
      </w:r>
    </w:p>
    <w:p w:rsidR="00AA40BF" w:rsidRPr="00C22882" w:rsidRDefault="0087084C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87084C">
        <w:rPr>
          <w:color w:val="000000"/>
          <w:sz w:val="28"/>
          <w:szCs w:val="22"/>
          <w:lang w:eastAsia="ru-RU"/>
        </w:rPr>
        <w:t>- по ул. Гагарина, включая устройство недостающего освещения, работы выполнены общей протяженностью 1,328 км.</w:t>
      </w:r>
    </w:p>
    <w:p w:rsidR="00C22882" w:rsidRDefault="00C22882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AA40BF" w:rsidRPr="00C22882" w:rsidRDefault="00AA40BF" w:rsidP="00667AC4">
      <w:pPr>
        <w:ind w:firstLine="709"/>
        <w:jc w:val="both"/>
        <w:rPr>
          <w:sz w:val="28"/>
          <w:szCs w:val="28"/>
          <w:lang w:eastAsia="ru-RU"/>
        </w:rPr>
      </w:pPr>
      <w:r w:rsidRPr="00C22882">
        <w:rPr>
          <w:b/>
          <w:sz w:val="28"/>
          <w:szCs w:val="28"/>
        </w:rPr>
        <w:t xml:space="preserve"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района), в </w:t>
      </w:r>
      <w:r w:rsidRPr="00C22882">
        <w:rPr>
          <w:sz w:val="28"/>
          <w:szCs w:val="28"/>
          <w:lang w:eastAsia="ru-RU"/>
        </w:rPr>
        <w:t>общей численности населения городского округа (муниципального района) отсутствует.</w:t>
      </w:r>
    </w:p>
    <w:p w:rsidR="00AA40BF" w:rsidRPr="007F73EE" w:rsidRDefault="00AA40BF" w:rsidP="00667AC4">
      <w:pPr>
        <w:tabs>
          <w:tab w:val="left" w:pos="709"/>
        </w:tabs>
        <w:suppressAutoHyphens w:val="0"/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0F687B" w:rsidRPr="000F687B" w:rsidRDefault="00AA40BF" w:rsidP="00667AC4">
      <w:pPr>
        <w:ind w:firstLine="709"/>
        <w:jc w:val="both"/>
        <w:rPr>
          <w:b/>
          <w:sz w:val="28"/>
          <w:szCs w:val="28"/>
        </w:rPr>
      </w:pPr>
      <w:r w:rsidRPr="000F687B">
        <w:rPr>
          <w:b/>
          <w:sz w:val="28"/>
          <w:szCs w:val="28"/>
        </w:rPr>
        <w:t xml:space="preserve">Показатель 8. Среднемесячная номинальная заработная плата работников: </w:t>
      </w:r>
    </w:p>
    <w:p w:rsidR="000F687B" w:rsidRPr="000F687B" w:rsidRDefault="00AA40BF" w:rsidP="00667AC4">
      <w:pPr>
        <w:ind w:firstLine="709"/>
        <w:jc w:val="both"/>
        <w:rPr>
          <w:sz w:val="28"/>
          <w:szCs w:val="28"/>
          <w:highlight w:val="yellow"/>
          <w:u w:val="single"/>
          <w:lang w:eastAsia="ru-RU"/>
        </w:rPr>
      </w:pPr>
      <w:r w:rsidRPr="000F687B">
        <w:rPr>
          <w:sz w:val="28"/>
          <w:szCs w:val="28"/>
          <w:u w:val="single"/>
          <w:lang w:eastAsia="ru-RU"/>
        </w:rPr>
        <w:t>Среднемесячная номинальная начисленная заработная плата работников крупных и средних предприятий и некоммерческих организаций города</w:t>
      </w:r>
      <w:r w:rsidR="000F687B">
        <w:rPr>
          <w:sz w:val="28"/>
          <w:szCs w:val="28"/>
          <w:u w:val="single"/>
          <w:lang w:eastAsia="ru-RU"/>
        </w:rPr>
        <w:t xml:space="preserve"> </w:t>
      </w:r>
      <w:r w:rsidR="000F687B" w:rsidRPr="000F687B">
        <w:rPr>
          <w:sz w:val="28"/>
          <w:szCs w:val="28"/>
          <w:lang w:eastAsia="ru-RU"/>
        </w:rPr>
        <w:t>в 2022 году увеличилась по сравнению с 2021 годом на 16,5% и составила 42200,8 руб., в 2023 году увеличилась по сравнению с 2022 годом на 21,2% и составила 51159,1 руб., в 2024 году увеличилась по сравнению с 2023 годом на 21,9% и составила 62349,4 руб.</w:t>
      </w:r>
    </w:p>
    <w:p w:rsidR="000F687B" w:rsidRPr="000F687B" w:rsidRDefault="000F687B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F687B">
        <w:rPr>
          <w:sz w:val="28"/>
          <w:szCs w:val="28"/>
          <w:lang w:eastAsia="ru-RU"/>
        </w:rPr>
        <w:t xml:space="preserve">На 2025-2027 годы прогнозируется ежегодное увеличение среднемесячной заработной платы: в 2025 году на 10,7%, в 2026 году на 11,1% и в 2027 году на 11,4%, что составит соответственно 69020,8 руб., 76682,1 руб. и 85423,9 руб. </w:t>
      </w:r>
    </w:p>
    <w:p w:rsidR="000F687B" w:rsidRPr="00EB165B" w:rsidRDefault="000F687B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F687B">
        <w:rPr>
          <w:sz w:val="28"/>
          <w:szCs w:val="28"/>
          <w:lang w:eastAsia="ru-RU"/>
        </w:rPr>
        <w:lastRenderedPageBreak/>
        <w:t xml:space="preserve">Рост среднемесячной номинальной заработной платы работников крупных и средних предприятий и некоммерческих организаций города обусловлен увеличением уровня заработной платы работникам бюджетной сферы, в соответствии с федеральным законодательством и намерениями предприятий и организаций.  </w:t>
      </w:r>
    </w:p>
    <w:p w:rsidR="00120845" w:rsidRPr="002B38F2" w:rsidRDefault="00C662B1" w:rsidP="00667AC4">
      <w:pPr>
        <w:ind w:firstLine="709"/>
        <w:jc w:val="both"/>
        <w:rPr>
          <w:sz w:val="28"/>
          <w:szCs w:val="28"/>
          <w:u w:val="single"/>
        </w:rPr>
      </w:pPr>
      <w:r w:rsidRPr="008B4E4B">
        <w:rPr>
          <w:sz w:val="28"/>
          <w:szCs w:val="28"/>
          <w:u w:val="single"/>
        </w:rPr>
        <w:t>Среднемесячная номинальная заработная плата работников муниципальных дошкольных образовательных учреждений</w:t>
      </w:r>
      <w:r w:rsidR="00CC6613" w:rsidRPr="008B4E4B">
        <w:rPr>
          <w:sz w:val="28"/>
          <w:szCs w:val="28"/>
          <w:u w:val="single"/>
        </w:rPr>
        <w:t xml:space="preserve"> </w:t>
      </w:r>
      <w:r w:rsidR="00EB165B" w:rsidRPr="00063D52">
        <w:rPr>
          <w:sz w:val="28"/>
          <w:szCs w:val="28"/>
        </w:rPr>
        <w:t xml:space="preserve">в 2024 году – </w:t>
      </w:r>
      <w:r w:rsidR="00EB165B">
        <w:rPr>
          <w:sz w:val="28"/>
          <w:szCs w:val="28"/>
        </w:rPr>
        <w:t>35655,5</w:t>
      </w:r>
      <w:r w:rsidR="00EB165B" w:rsidRPr="00063D52">
        <w:rPr>
          <w:sz w:val="28"/>
          <w:szCs w:val="28"/>
        </w:rPr>
        <w:t xml:space="preserve"> рублей</w:t>
      </w:r>
      <w:r w:rsidR="00EB165B">
        <w:rPr>
          <w:sz w:val="28"/>
          <w:szCs w:val="28"/>
        </w:rPr>
        <w:t xml:space="preserve">. </w:t>
      </w:r>
      <w:r w:rsidR="00EB165B" w:rsidRPr="00063D52">
        <w:rPr>
          <w:sz w:val="28"/>
          <w:szCs w:val="28"/>
        </w:rPr>
        <w:t>Повышение уровня среднемесячной заработной платы за счет увеличения выплат стимулирующего характера, а также увеличения мин</w:t>
      </w:r>
      <w:r w:rsidR="002B38F2">
        <w:rPr>
          <w:sz w:val="28"/>
          <w:szCs w:val="28"/>
        </w:rPr>
        <w:t>имального размера оплаты труда.</w:t>
      </w:r>
      <w:r w:rsidR="00EB165B" w:rsidRPr="00063D52">
        <w:rPr>
          <w:sz w:val="28"/>
          <w:szCs w:val="28"/>
        </w:rPr>
        <w:t xml:space="preserve"> За счёт увеличения выплат стимулирующего характера планируется доведение уровня средней заработной платы работников дошкольных образовательных учреждений в 2025 году – 46860,5 рублей, в 2026 году</w:t>
      </w:r>
      <w:r w:rsidR="00BF66D5">
        <w:rPr>
          <w:sz w:val="28"/>
          <w:szCs w:val="28"/>
        </w:rPr>
        <w:t xml:space="preserve"> </w:t>
      </w:r>
      <w:r w:rsidR="00EB165B" w:rsidRPr="00063D52">
        <w:rPr>
          <w:sz w:val="28"/>
          <w:szCs w:val="28"/>
        </w:rPr>
        <w:t xml:space="preserve">- </w:t>
      </w:r>
      <w:r w:rsidR="00EB165B">
        <w:rPr>
          <w:sz w:val="28"/>
          <w:szCs w:val="28"/>
        </w:rPr>
        <w:t>53041,1</w:t>
      </w:r>
      <w:r w:rsidR="00EB165B" w:rsidRPr="00063D52">
        <w:rPr>
          <w:sz w:val="28"/>
          <w:szCs w:val="28"/>
        </w:rPr>
        <w:t xml:space="preserve"> рублей, в 2027 году</w:t>
      </w:r>
      <w:r w:rsidR="00BF66D5">
        <w:rPr>
          <w:sz w:val="28"/>
          <w:szCs w:val="28"/>
        </w:rPr>
        <w:t xml:space="preserve"> </w:t>
      </w:r>
      <w:r w:rsidR="00EB165B" w:rsidRPr="00063D52">
        <w:rPr>
          <w:sz w:val="28"/>
          <w:szCs w:val="28"/>
        </w:rPr>
        <w:t xml:space="preserve">- </w:t>
      </w:r>
      <w:r w:rsidR="00EB165B">
        <w:rPr>
          <w:sz w:val="28"/>
          <w:szCs w:val="28"/>
        </w:rPr>
        <w:t>58456,8</w:t>
      </w:r>
      <w:r w:rsidR="00EB165B" w:rsidRPr="00063D52">
        <w:rPr>
          <w:sz w:val="28"/>
          <w:szCs w:val="28"/>
        </w:rPr>
        <w:t xml:space="preserve"> рублей.</w:t>
      </w:r>
    </w:p>
    <w:p w:rsidR="00120845" w:rsidRPr="000F1B72" w:rsidRDefault="00F943D6" w:rsidP="00667AC4">
      <w:pPr>
        <w:ind w:firstLine="709"/>
        <w:jc w:val="both"/>
        <w:rPr>
          <w:sz w:val="28"/>
          <w:szCs w:val="28"/>
        </w:rPr>
      </w:pPr>
      <w:r w:rsidRPr="002B38F2">
        <w:rPr>
          <w:sz w:val="28"/>
          <w:szCs w:val="28"/>
          <w:u w:val="single"/>
        </w:rPr>
        <w:t xml:space="preserve">Среднемесячная номинальная заработная плата работников муниципальных общеобразовательных учреждений </w:t>
      </w:r>
      <w:r w:rsidR="000F1B72" w:rsidRPr="000F1B72">
        <w:rPr>
          <w:sz w:val="28"/>
          <w:szCs w:val="28"/>
        </w:rPr>
        <w:t>в 2024 году – 48237,0 рублей</w:t>
      </w:r>
      <w:r w:rsidR="000F1B72">
        <w:rPr>
          <w:sz w:val="28"/>
          <w:szCs w:val="28"/>
        </w:rPr>
        <w:t xml:space="preserve">. </w:t>
      </w:r>
      <w:r w:rsidR="000F1B72" w:rsidRPr="000F1B72">
        <w:rPr>
          <w:sz w:val="28"/>
          <w:szCs w:val="28"/>
        </w:rPr>
        <w:t xml:space="preserve">Планируется доведение уровня средней заработной платы работников муниципальных общеобразовательных учреждений в 2025 году – </w:t>
      </w:r>
      <w:r w:rsidR="000F1B72" w:rsidRPr="000F1B72">
        <w:rPr>
          <w:sz w:val="28"/>
          <w:szCs w:val="28"/>
        </w:rPr>
        <w:t xml:space="preserve">48237,0 </w:t>
      </w:r>
      <w:r w:rsidR="000F1B72" w:rsidRPr="000F1B72">
        <w:rPr>
          <w:sz w:val="28"/>
          <w:szCs w:val="28"/>
        </w:rPr>
        <w:t>рублей, в 2026 году</w:t>
      </w:r>
      <w:r w:rsidR="00BF66D5">
        <w:rPr>
          <w:sz w:val="28"/>
          <w:szCs w:val="28"/>
        </w:rPr>
        <w:t xml:space="preserve"> </w:t>
      </w:r>
      <w:r w:rsidR="000F1B72" w:rsidRPr="000F1B72">
        <w:rPr>
          <w:sz w:val="28"/>
          <w:szCs w:val="28"/>
        </w:rPr>
        <w:t>- 53041,1 рублей, в 2027 году</w:t>
      </w:r>
      <w:r w:rsidR="00BF66D5">
        <w:rPr>
          <w:sz w:val="28"/>
          <w:szCs w:val="28"/>
        </w:rPr>
        <w:t xml:space="preserve"> </w:t>
      </w:r>
      <w:r w:rsidR="000F1B72" w:rsidRPr="000F1B72">
        <w:rPr>
          <w:sz w:val="28"/>
          <w:szCs w:val="28"/>
        </w:rPr>
        <w:t>- 58456,8 рублей.</w:t>
      </w:r>
    </w:p>
    <w:p w:rsidR="00120845" w:rsidRPr="00BF66D5" w:rsidRDefault="000C66B8" w:rsidP="00667AC4">
      <w:pPr>
        <w:ind w:firstLine="708"/>
        <w:jc w:val="both"/>
        <w:rPr>
          <w:sz w:val="28"/>
          <w:szCs w:val="28"/>
        </w:rPr>
      </w:pPr>
      <w:r w:rsidRPr="000F1B72">
        <w:rPr>
          <w:sz w:val="28"/>
          <w:szCs w:val="28"/>
          <w:u w:val="single"/>
        </w:rPr>
        <w:t>Среднемесячная номинальная заработная плата учителей муниципальных общеобразовательных учреждений</w:t>
      </w:r>
      <w:r w:rsidR="00DC1ED8" w:rsidRPr="000F1B72">
        <w:rPr>
          <w:sz w:val="28"/>
          <w:szCs w:val="28"/>
          <w:u w:val="single"/>
        </w:rPr>
        <w:t xml:space="preserve"> </w:t>
      </w:r>
      <w:r w:rsidR="00BF66D5" w:rsidRPr="00063D52">
        <w:rPr>
          <w:sz w:val="28"/>
          <w:szCs w:val="28"/>
        </w:rPr>
        <w:t xml:space="preserve">в 2024 году – </w:t>
      </w:r>
      <w:r w:rsidR="00BF66D5">
        <w:rPr>
          <w:sz w:val="28"/>
          <w:szCs w:val="28"/>
        </w:rPr>
        <w:t>46536,0 рублей</w:t>
      </w:r>
      <w:r w:rsidR="00BF66D5" w:rsidRPr="00063D52">
        <w:rPr>
          <w:sz w:val="28"/>
          <w:szCs w:val="28"/>
        </w:rPr>
        <w:t xml:space="preserve">. Повышение уровня среднемесячной заработной платы 2024 года к 2023 году на </w:t>
      </w:r>
      <w:r w:rsidR="00BF66D5">
        <w:rPr>
          <w:sz w:val="28"/>
          <w:szCs w:val="28"/>
        </w:rPr>
        <w:t>1,15</w:t>
      </w:r>
      <w:r w:rsidR="00BF66D5" w:rsidRPr="00063D52">
        <w:rPr>
          <w:sz w:val="28"/>
          <w:szCs w:val="28"/>
        </w:rPr>
        <w:t xml:space="preserve"> % произошло за счет введения эффективных контрактов для работников и увеличения выплат стимулирующего характера. За счёт увеличения выплат стимулирующего характера планируется доведение уровня номинальной заработной платы учителей образовательных </w:t>
      </w:r>
      <w:r w:rsidR="00BF66D5" w:rsidRPr="00063D52">
        <w:rPr>
          <w:sz w:val="28"/>
          <w:szCs w:val="28"/>
        </w:rPr>
        <w:t>учреждений в</w:t>
      </w:r>
      <w:r w:rsidR="00BF66D5" w:rsidRPr="00063D52">
        <w:rPr>
          <w:sz w:val="28"/>
          <w:szCs w:val="28"/>
        </w:rPr>
        <w:t xml:space="preserve"> 2025 году – 46860,5 рублей, в 2026 году</w:t>
      </w:r>
      <w:r w:rsidR="00BF66D5">
        <w:rPr>
          <w:sz w:val="28"/>
          <w:szCs w:val="28"/>
        </w:rPr>
        <w:t xml:space="preserve"> </w:t>
      </w:r>
      <w:r w:rsidR="00BF66D5" w:rsidRPr="00063D52">
        <w:rPr>
          <w:sz w:val="28"/>
          <w:szCs w:val="28"/>
        </w:rPr>
        <w:t xml:space="preserve">- </w:t>
      </w:r>
      <w:r w:rsidR="00BF66D5">
        <w:rPr>
          <w:sz w:val="28"/>
          <w:szCs w:val="28"/>
        </w:rPr>
        <w:t>53041,1</w:t>
      </w:r>
      <w:r w:rsidR="00BF66D5" w:rsidRPr="00063D52">
        <w:rPr>
          <w:sz w:val="28"/>
          <w:szCs w:val="28"/>
        </w:rPr>
        <w:t xml:space="preserve"> рублей, в 2027 году</w:t>
      </w:r>
      <w:r w:rsidR="00BF66D5">
        <w:rPr>
          <w:sz w:val="28"/>
          <w:szCs w:val="28"/>
        </w:rPr>
        <w:t xml:space="preserve"> </w:t>
      </w:r>
      <w:r w:rsidR="00BF66D5" w:rsidRPr="00063D52">
        <w:rPr>
          <w:sz w:val="28"/>
          <w:szCs w:val="28"/>
        </w:rPr>
        <w:t xml:space="preserve">- </w:t>
      </w:r>
      <w:r w:rsidR="00BF66D5">
        <w:rPr>
          <w:sz w:val="28"/>
          <w:szCs w:val="28"/>
        </w:rPr>
        <w:t>58456,8</w:t>
      </w:r>
      <w:r w:rsidR="00BF66D5" w:rsidRPr="00063D52">
        <w:rPr>
          <w:sz w:val="28"/>
          <w:szCs w:val="28"/>
        </w:rPr>
        <w:t xml:space="preserve"> рублей.</w:t>
      </w:r>
    </w:p>
    <w:p w:rsidR="00055264" w:rsidRPr="00055264" w:rsidRDefault="00055264" w:rsidP="00667AC4">
      <w:pPr>
        <w:tabs>
          <w:tab w:val="left" w:pos="180"/>
          <w:tab w:val="left" w:pos="709"/>
        </w:tabs>
        <w:ind w:right="-1" w:firstLine="709"/>
        <w:jc w:val="both"/>
        <w:rPr>
          <w:sz w:val="28"/>
          <w:szCs w:val="28"/>
        </w:rPr>
      </w:pPr>
      <w:r w:rsidRPr="00055264">
        <w:rPr>
          <w:bCs/>
          <w:sz w:val="28"/>
          <w:szCs w:val="28"/>
          <w:u w:val="single"/>
          <w:lang w:eastAsia="ru-RU"/>
        </w:rPr>
        <w:t>Среднемесячная номинальная начисленная заработная плата работников муниципальных учреждений культуры составила:</w:t>
      </w:r>
      <w:r w:rsidRPr="00055264">
        <w:rPr>
          <w:sz w:val="28"/>
          <w:szCs w:val="28"/>
        </w:rPr>
        <w:t xml:space="preserve"> в 2024 году среднемесячная заработная плата составила: 47 535,3 руб.</w:t>
      </w:r>
    </w:p>
    <w:p w:rsidR="00055264" w:rsidRPr="00055264" w:rsidRDefault="00055264" w:rsidP="00667AC4">
      <w:pPr>
        <w:tabs>
          <w:tab w:val="left" w:pos="180"/>
          <w:tab w:val="left" w:pos="709"/>
        </w:tabs>
        <w:ind w:right="-1" w:firstLine="709"/>
        <w:jc w:val="both"/>
        <w:rPr>
          <w:sz w:val="28"/>
          <w:szCs w:val="28"/>
        </w:rPr>
      </w:pPr>
      <w:r w:rsidRPr="00055264">
        <w:rPr>
          <w:sz w:val="28"/>
          <w:szCs w:val="28"/>
        </w:rPr>
        <w:t xml:space="preserve"> В рамках исполнения Указа Президента РФ от 07.05.2012 № 597 «О мерах по реализации государственной социальной политики»: в 2025 году уровень заработной платы составит 48 944,2 рублей, в 2026 году уровень заработной платы составит 52 370,3 рублей, в 2027 году уровень заработной платы составит 55 826,7 рублей.</w:t>
      </w:r>
    </w:p>
    <w:p w:rsidR="00B72D3B" w:rsidRDefault="004B5FAC" w:rsidP="00667AC4">
      <w:pPr>
        <w:ind w:firstLine="708"/>
        <w:jc w:val="both"/>
        <w:rPr>
          <w:sz w:val="28"/>
          <w:szCs w:val="28"/>
        </w:rPr>
      </w:pPr>
      <w:r w:rsidRPr="00B72D3B">
        <w:rPr>
          <w:rFonts w:eastAsia="Lucida Sans Unicode"/>
          <w:kern w:val="2"/>
          <w:sz w:val="28"/>
          <w:szCs w:val="28"/>
          <w:u w:val="single"/>
          <w:lang w:eastAsia="hi-IN" w:bidi="hi-IN"/>
        </w:rPr>
        <w:t>Среднемесячная номинальная заработная плата работников муниципальных учреждений физической культуры и спорта</w:t>
      </w:r>
      <w:r w:rsidRPr="00B72D3B">
        <w:rPr>
          <w:sz w:val="28"/>
          <w:szCs w:val="28"/>
        </w:rPr>
        <w:t xml:space="preserve"> </w:t>
      </w:r>
      <w:r w:rsidR="00B72D3B" w:rsidRPr="00063D52">
        <w:rPr>
          <w:sz w:val="28"/>
          <w:szCs w:val="28"/>
        </w:rPr>
        <w:t>в 2024 году –</w:t>
      </w:r>
      <w:r w:rsidR="00B72D3B">
        <w:rPr>
          <w:sz w:val="28"/>
          <w:szCs w:val="28"/>
        </w:rPr>
        <w:t>40995,0</w:t>
      </w:r>
      <w:r w:rsidR="00B72D3B" w:rsidRPr="00063D52">
        <w:rPr>
          <w:sz w:val="28"/>
          <w:szCs w:val="28"/>
        </w:rPr>
        <w:t xml:space="preserve"> рублей.  Повышение в 2024 году к 2023 году произошло за счет введения эффективных контрактов для работников и увеличения выплат стимулирующего характера. За счёт увеличения выплат стимулирующего характера планируется доведение уровня номинальной заработной платы работников дополнительного образования в 2025 году – 46860,5 рублей, в 2026 году</w:t>
      </w:r>
      <w:r w:rsidR="00B72D3B">
        <w:rPr>
          <w:sz w:val="28"/>
          <w:szCs w:val="28"/>
        </w:rPr>
        <w:t xml:space="preserve"> </w:t>
      </w:r>
      <w:r w:rsidR="00B72D3B" w:rsidRPr="00063D52">
        <w:rPr>
          <w:sz w:val="28"/>
          <w:szCs w:val="28"/>
        </w:rPr>
        <w:t xml:space="preserve">- </w:t>
      </w:r>
      <w:r w:rsidR="00B72D3B">
        <w:rPr>
          <w:sz w:val="28"/>
          <w:szCs w:val="28"/>
        </w:rPr>
        <w:t>53041,1</w:t>
      </w:r>
      <w:r w:rsidR="00B72D3B" w:rsidRPr="00063D52">
        <w:rPr>
          <w:sz w:val="28"/>
          <w:szCs w:val="28"/>
        </w:rPr>
        <w:t xml:space="preserve"> рублей, в 2027 году</w:t>
      </w:r>
      <w:r w:rsidR="00B72D3B">
        <w:rPr>
          <w:sz w:val="28"/>
          <w:szCs w:val="28"/>
        </w:rPr>
        <w:t xml:space="preserve"> </w:t>
      </w:r>
      <w:r w:rsidR="00B72D3B" w:rsidRPr="00063D52">
        <w:rPr>
          <w:sz w:val="28"/>
          <w:szCs w:val="28"/>
        </w:rPr>
        <w:t xml:space="preserve">- </w:t>
      </w:r>
      <w:r w:rsidR="00B72D3B">
        <w:rPr>
          <w:sz w:val="28"/>
          <w:szCs w:val="28"/>
        </w:rPr>
        <w:t>58456,8</w:t>
      </w:r>
      <w:r w:rsidR="00B72D3B" w:rsidRPr="00063D52">
        <w:rPr>
          <w:sz w:val="28"/>
          <w:szCs w:val="28"/>
        </w:rPr>
        <w:t xml:space="preserve"> рублей.</w:t>
      </w:r>
    </w:p>
    <w:p w:rsidR="00B72D3B" w:rsidRDefault="00B72D3B" w:rsidP="00667AC4">
      <w:pPr>
        <w:ind w:firstLine="708"/>
        <w:jc w:val="both"/>
        <w:rPr>
          <w:sz w:val="28"/>
          <w:szCs w:val="28"/>
        </w:rPr>
      </w:pPr>
    </w:p>
    <w:p w:rsidR="00AA40BF" w:rsidRPr="00B72D3B" w:rsidRDefault="00AA40BF" w:rsidP="00667AC4">
      <w:pPr>
        <w:ind w:firstLine="709"/>
        <w:jc w:val="center"/>
        <w:rPr>
          <w:b/>
          <w:sz w:val="28"/>
          <w:szCs w:val="28"/>
        </w:rPr>
      </w:pPr>
      <w:r w:rsidRPr="00B72D3B">
        <w:rPr>
          <w:b/>
          <w:sz w:val="28"/>
          <w:szCs w:val="28"/>
          <w:lang w:val="en-US"/>
        </w:rPr>
        <w:lastRenderedPageBreak/>
        <w:t>II</w:t>
      </w:r>
      <w:r w:rsidRPr="00B72D3B">
        <w:rPr>
          <w:b/>
          <w:sz w:val="28"/>
          <w:szCs w:val="28"/>
        </w:rPr>
        <w:t>. Дошкольное образование</w:t>
      </w:r>
    </w:p>
    <w:p w:rsidR="00AA40BF" w:rsidRPr="007F73EE" w:rsidRDefault="00AA40BF" w:rsidP="00667AC4">
      <w:pPr>
        <w:ind w:firstLine="709"/>
        <w:jc w:val="center"/>
        <w:rPr>
          <w:b/>
          <w:sz w:val="28"/>
          <w:szCs w:val="28"/>
          <w:highlight w:val="yellow"/>
        </w:rPr>
      </w:pPr>
    </w:p>
    <w:p w:rsidR="00AA40BF" w:rsidRPr="00B72D3B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B72D3B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9. Доля детей в возрасте 1</w:t>
      </w:r>
      <w:r w:rsidR="00783649" w:rsidRPr="00B72D3B">
        <w:rPr>
          <w:sz w:val="28"/>
        </w:rPr>
        <w:t>–</w:t>
      </w:r>
      <w:r w:rsidRPr="00B72D3B">
        <w:rPr>
          <w:rFonts w:eastAsia="Lucida Sans Unicode"/>
          <w:b/>
          <w:kern w:val="2"/>
          <w:sz w:val="28"/>
          <w:szCs w:val="28"/>
          <w:lang w:eastAsia="hi-IN" w:bidi="hi-IN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</w:t>
      </w:r>
      <w:r w:rsidR="00783649" w:rsidRPr="00B72D3B">
        <w:rPr>
          <w:sz w:val="28"/>
        </w:rPr>
        <w:t>–</w:t>
      </w:r>
      <w:r w:rsidRPr="00B72D3B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6 лет.</w:t>
      </w:r>
    </w:p>
    <w:p w:rsidR="003115E5" w:rsidRPr="00063D52" w:rsidRDefault="003115E5" w:rsidP="00667AC4">
      <w:pPr>
        <w:ind w:firstLine="708"/>
        <w:jc w:val="both"/>
        <w:rPr>
          <w:sz w:val="28"/>
          <w:szCs w:val="28"/>
        </w:rPr>
      </w:pPr>
      <w:r w:rsidRPr="00063D52">
        <w:rPr>
          <w:sz w:val="28"/>
          <w:szCs w:val="28"/>
        </w:rPr>
        <w:t xml:space="preserve">В 2024 </w:t>
      </w:r>
      <w:r w:rsidRPr="00063D52">
        <w:rPr>
          <w:sz w:val="28"/>
          <w:szCs w:val="28"/>
        </w:rPr>
        <w:t>году 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показателя составило </w:t>
      </w:r>
      <w:r>
        <w:rPr>
          <w:sz w:val="28"/>
          <w:szCs w:val="28"/>
        </w:rPr>
        <w:t>67,8</w:t>
      </w:r>
      <w:r>
        <w:rPr>
          <w:sz w:val="28"/>
          <w:szCs w:val="28"/>
        </w:rPr>
        <w:t xml:space="preserve">%. </w:t>
      </w:r>
      <w:r w:rsidRPr="00063D52">
        <w:rPr>
          <w:sz w:val="28"/>
          <w:szCs w:val="28"/>
        </w:rPr>
        <w:t xml:space="preserve">Всем детям, заявленным на определение в детский сад в 2024 </w:t>
      </w:r>
      <w:r w:rsidRPr="00063D52">
        <w:rPr>
          <w:sz w:val="28"/>
          <w:szCs w:val="28"/>
        </w:rPr>
        <w:t>году, места</w:t>
      </w:r>
      <w:r w:rsidRPr="00063D52">
        <w:rPr>
          <w:sz w:val="28"/>
          <w:szCs w:val="28"/>
        </w:rPr>
        <w:t xml:space="preserve"> предоставлены. Значение показателя в 2025 - 2027 планируется в пределах – 68,1%. </w:t>
      </w:r>
    </w:p>
    <w:p w:rsidR="0085077D" w:rsidRPr="007F73EE" w:rsidRDefault="0085077D" w:rsidP="00667AC4">
      <w:pPr>
        <w:widowControl w:val="0"/>
        <w:jc w:val="both"/>
        <w:rPr>
          <w:rFonts w:eastAsia="Lucida Sans Unicode"/>
          <w:b/>
          <w:kern w:val="2"/>
          <w:sz w:val="28"/>
          <w:szCs w:val="28"/>
          <w:highlight w:val="yellow"/>
          <w:lang w:eastAsia="hi-IN" w:bidi="hi-IN"/>
        </w:rPr>
      </w:pPr>
    </w:p>
    <w:p w:rsidR="00AA40BF" w:rsidRPr="00190835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90835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10. 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лет.</w:t>
      </w:r>
    </w:p>
    <w:p w:rsidR="00190835" w:rsidRPr="00063D52" w:rsidRDefault="00190835" w:rsidP="00667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этого показателя в 2024</w:t>
      </w:r>
      <w:r w:rsidRPr="00063D52">
        <w:rPr>
          <w:sz w:val="28"/>
          <w:szCs w:val="28"/>
        </w:rPr>
        <w:t xml:space="preserve"> </w:t>
      </w:r>
      <w:r w:rsidRPr="00063D52">
        <w:rPr>
          <w:sz w:val="28"/>
          <w:szCs w:val="28"/>
        </w:rPr>
        <w:t>году значение</w:t>
      </w:r>
      <w:r w:rsidRPr="00063D52">
        <w:rPr>
          <w:sz w:val="28"/>
          <w:szCs w:val="28"/>
        </w:rPr>
        <w:t xml:space="preserve"> показателя составило </w:t>
      </w:r>
      <w:r>
        <w:rPr>
          <w:sz w:val="28"/>
          <w:szCs w:val="28"/>
        </w:rPr>
        <w:t xml:space="preserve">8,84%. </w:t>
      </w:r>
      <w:r w:rsidRPr="00063D52">
        <w:rPr>
          <w:sz w:val="28"/>
          <w:szCs w:val="28"/>
        </w:rPr>
        <w:t xml:space="preserve">В очереди на получение места в детском </w:t>
      </w:r>
      <w:r w:rsidRPr="00063D52">
        <w:rPr>
          <w:sz w:val="28"/>
          <w:szCs w:val="28"/>
        </w:rPr>
        <w:t>саду, которая</w:t>
      </w:r>
      <w:r w:rsidRPr="00063D52">
        <w:rPr>
          <w:sz w:val="28"/>
          <w:szCs w:val="28"/>
        </w:rPr>
        <w:t xml:space="preserve"> ведется в Единой информационной системе «Электронный детский сад», учтены все дети с отсроченным сроком предоставления места в 2024 - 2025 годах. В 2025 - 2027 годы планируется значение показателя в пре</w:t>
      </w:r>
      <w:r>
        <w:rPr>
          <w:sz w:val="28"/>
          <w:szCs w:val="28"/>
        </w:rPr>
        <w:t>делах 8,8</w:t>
      </w:r>
      <w:r w:rsidR="0066265B">
        <w:rPr>
          <w:sz w:val="28"/>
          <w:szCs w:val="28"/>
        </w:rPr>
        <w:t>4</w:t>
      </w:r>
      <w:r w:rsidRPr="00063D52">
        <w:rPr>
          <w:sz w:val="28"/>
          <w:szCs w:val="28"/>
        </w:rPr>
        <w:t>%.</w:t>
      </w:r>
    </w:p>
    <w:p w:rsidR="00AA40BF" w:rsidRPr="007F73EE" w:rsidRDefault="00AA40BF" w:rsidP="00667AC4">
      <w:pPr>
        <w:widowControl w:val="0"/>
        <w:tabs>
          <w:tab w:val="left" w:pos="709"/>
        </w:tabs>
        <w:jc w:val="both"/>
        <w:rPr>
          <w:rFonts w:eastAsia="Lucida Sans Unicode"/>
          <w:kern w:val="2"/>
          <w:sz w:val="28"/>
          <w:szCs w:val="28"/>
          <w:highlight w:val="yellow"/>
          <w:lang w:eastAsia="hi-IN" w:bidi="hi-IN"/>
        </w:rPr>
      </w:pPr>
    </w:p>
    <w:p w:rsidR="00AA40BF" w:rsidRPr="0066265B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66265B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 в общем числе муниципальных дошкольных образовательных учреждений.</w:t>
      </w:r>
    </w:p>
    <w:p w:rsidR="0066265B" w:rsidRPr="00063D52" w:rsidRDefault="0066265B" w:rsidP="00667AC4">
      <w:pPr>
        <w:ind w:firstLine="708"/>
        <w:jc w:val="both"/>
        <w:rPr>
          <w:sz w:val="28"/>
          <w:szCs w:val="28"/>
        </w:rPr>
      </w:pPr>
      <w:r w:rsidRPr="00063D52">
        <w:rPr>
          <w:sz w:val="28"/>
          <w:szCs w:val="28"/>
        </w:rPr>
        <w:t xml:space="preserve">Значения </w:t>
      </w:r>
      <w:r w:rsidRPr="00063D52">
        <w:rPr>
          <w:sz w:val="28"/>
          <w:szCs w:val="28"/>
        </w:rPr>
        <w:t>показателя составили</w:t>
      </w:r>
      <w:r w:rsidRPr="00063D52">
        <w:rPr>
          <w:sz w:val="28"/>
          <w:szCs w:val="28"/>
        </w:rPr>
        <w:t xml:space="preserve"> в период  2024 года –– 8%.</w:t>
      </w:r>
    </w:p>
    <w:p w:rsidR="0066265B" w:rsidRPr="00063D52" w:rsidRDefault="0066265B" w:rsidP="00667AC4">
      <w:pPr>
        <w:jc w:val="both"/>
        <w:rPr>
          <w:sz w:val="28"/>
          <w:szCs w:val="28"/>
        </w:rPr>
      </w:pPr>
      <w:r w:rsidRPr="00063D52">
        <w:rPr>
          <w:sz w:val="28"/>
          <w:szCs w:val="28"/>
        </w:rPr>
        <w:tab/>
        <w:t xml:space="preserve">В 2025- </w:t>
      </w:r>
      <w:r w:rsidRPr="00063D52">
        <w:rPr>
          <w:sz w:val="28"/>
          <w:szCs w:val="28"/>
        </w:rPr>
        <w:t>2027 годах планируется</w:t>
      </w:r>
      <w:r w:rsidRPr="00063D52">
        <w:rPr>
          <w:sz w:val="28"/>
          <w:szCs w:val="28"/>
        </w:rPr>
        <w:t xml:space="preserve"> проведение капитального ремонта в 2-х (МБДОУ№ 18 г. Азова, МБДОУ № 22 г. Азова) зданиях дошкольных образовательных учреждениях. Значения показателя в этот период составят 8%. </w:t>
      </w:r>
    </w:p>
    <w:p w:rsidR="00612005" w:rsidRPr="007F73EE" w:rsidRDefault="00612005" w:rsidP="00667AC4">
      <w:pPr>
        <w:jc w:val="both"/>
        <w:rPr>
          <w:sz w:val="28"/>
          <w:szCs w:val="28"/>
          <w:highlight w:val="yellow"/>
        </w:rPr>
      </w:pPr>
    </w:p>
    <w:p w:rsidR="00AA40BF" w:rsidRPr="0075143C" w:rsidRDefault="00AA40BF" w:rsidP="00667AC4">
      <w:pPr>
        <w:widowControl w:val="0"/>
        <w:ind w:firstLine="709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75143C">
        <w:rPr>
          <w:rFonts w:eastAsia="Lucida Sans Unicode"/>
          <w:b/>
          <w:kern w:val="2"/>
          <w:sz w:val="28"/>
          <w:szCs w:val="28"/>
          <w:lang w:eastAsia="hi-IN" w:bidi="hi-IN"/>
        </w:rPr>
        <w:t>Общее и дополнительное образование.</w:t>
      </w:r>
    </w:p>
    <w:p w:rsidR="00612005" w:rsidRPr="0075143C" w:rsidRDefault="00612005" w:rsidP="00667AC4">
      <w:pPr>
        <w:widowControl w:val="0"/>
        <w:ind w:firstLine="709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</w:p>
    <w:p w:rsidR="00AA40BF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75143C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13.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учреждений.</w:t>
      </w:r>
    </w:p>
    <w:p w:rsidR="0075143C" w:rsidRPr="0075143C" w:rsidRDefault="0075143C" w:rsidP="00667AC4">
      <w:pPr>
        <w:widowControl w:val="0"/>
        <w:ind w:firstLine="694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Доля выпускников, не получивших аттестат о среднем общем образовании в 2024 году – 0,61%. В 2024 году государственная итоговая аттестация была проведена. В 2024 году не получили аттестат 5 выпускников одиннадцатых классов общеобразовательных учреждений города. В каждом общеобразовательном учреждении организованы мероприятия по подготовке к итоговой аттестации выпускников следующего года, с целью повышения качества подготовки обучающихся, повышения мотивации на основе анализа результатов государственной итоговой аттестации выпускников текущего года. Разработаны комплексные планы мероприятий на 2025-2027 учебный год по повышению качества образования и сокращения доли выпускников, не </w:t>
      </w: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lastRenderedPageBreak/>
        <w:t>завершивших среднего</w:t>
      </w: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общего образования.  Одним из основных направлений этой деятельности определена индивидуализация работы с каждым обучающимся. В результате реализации разработанных мероприятий планируется довести долю выпускников, не получивших аттестат о среднем общем образовании в 2025, 2026, 2027 годах – не более 1 % от общего числа выпускников.</w:t>
      </w:r>
    </w:p>
    <w:p w:rsidR="0075143C" w:rsidRPr="0075143C" w:rsidRDefault="0075143C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</w:p>
    <w:p w:rsidR="00AA40BF" w:rsidRPr="0075143C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75143C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75143C" w:rsidRPr="0075143C" w:rsidRDefault="0075143C" w:rsidP="00667AC4">
      <w:pPr>
        <w:suppressAutoHyphens w:val="0"/>
        <w:ind w:firstLine="704"/>
        <w:jc w:val="both"/>
        <w:rPr>
          <w:sz w:val="28"/>
          <w:szCs w:val="28"/>
          <w:lang w:eastAsia="ru-RU"/>
        </w:rPr>
      </w:pP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Значения показателя в отчётном периоде, согласно отчета ОО-2, составили: в 2024 году – 88,83%. В отчетном периоде частично проводились работы по улучшению материально-технической базы муниципальных общеобразовательных учреждений. Стабильность показателя в </w:t>
      </w:r>
      <w:r w:rsidR="007630F1"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>2024 году</w:t>
      </w: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обусловлена </w:t>
      </w:r>
      <w:r w:rsidRPr="0075143C">
        <w:rPr>
          <w:sz w:val="28"/>
          <w:szCs w:val="28"/>
          <w:lang w:eastAsia="ru-RU"/>
        </w:rPr>
        <w:t>численностью учреждений, реализующих образовательные программы с использованием дистанционных технологий</w:t>
      </w:r>
      <w:r w:rsidRPr="0075143C">
        <w:rPr>
          <w:b/>
          <w:bCs/>
          <w:sz w:val="28"/>
          <w:szCs w:val="28"/>
          <w:lang w:eastAsia="ru-RU"/>
        </w:rPr>
        <w:t xml:space="preserve">. </w:t>
      </w: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плановом периоде за счет развития системы дистанционного образования планируется </w:t>
      </w:r>
      <w:r w:rsidR="007630F1"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>значение показателя в</w:t>
      </w:r>
      <w:r w:rsidRPr="0075143C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2025, 2026, 2027 годах в пределах 88,83%.</w:t>
      </w:r>
    </w:p>
    <w:p w:rsidR="00AA40BF" w:rsidRPr="007F73EE" w:rsidRDefault="00AA40BF" w:rsidP="00667AC4">
      <w:pPr>
        <w:widowControl w:val="0"/>
        <w:tabs>
          <w:tab w:val="left" w:pos="709"/>
        </w:tabs>
        <w:jc w:val="both"/>
        <w:rPr>
          <w:rFonts w:eastAsia="Lucida Sans Unicode"/>
          <w:kern w:val="2"/>
          <w:sz w:val="28"/>
          <w:szCs w:val="28"/>
          <w:highlight w:val="yellow"/>
          <w:lang w:eastAsia="hi-IN" w:bidi="hi-IN"/>
        </w:rPr>
      </w:pPr>
    </w:p>
    <w:p w:rsidR="00AA40BF" w:rsidRPr="007630F1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7630F1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E811BB" w:rsidRPr="00E811BB" w:rsidRDefault="00E811BB" w:rsidP="00667AC4">
      <w:pPr>
        <w:widowControl w:val="0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811BB">
        <w:rPr>
          <w:rFonts w:eastAsia="Lucida Sans Unicode" w:cs="Tahoma"/>
          <w:kern w:val="1"/>
          <w:sz w:val="28"/>
          <w:szCs w:val="28"/>
          <w:lang w:eastAsia="hi-IN" w:bidi="hi-IN"/>
        </w:rPr>
        <w:t>Значения показателя составил в 2024 году – 40%.</w:t>
      </w:r>
    </w:p>
    <w:p w:rsidR="00E811BB" w:rsidRPr="00E811BB" w:rsidRDefault="00E811BB" w:rsidP="00667AC4">
      <w:pPr>
        <w:widowControl w:val="0"/>
        <w:suppressAutoHyphens w:val="0"/>
        <w:ind w:right="23"/>
        <w:jc w:val="both"/>
        <w:rPr>
          <w:sz w:val="28"/>
          <w:szCs w:val="28"/>
          <w:lang w:eastAsia="x-none"/>
        </w:rPr>
      </w:pPr>
      <w:r w:rsidRPr="00E811BB">
        <w:rPr>
          <w:sz w:val="28"/>
          <w:szCs w:val="28"/>
          <w:lang w:eastAsia="x-none"/>
        </w:rPr>
        <w:t xml:space="preserve">В 2024 году </w:t>
      </w:r>
      <w:r w:rsidRPr="00E811BB">
        <w:rPr>
          <w:sz w:val="28"/>
          <w:szCs w:val="28"/>
          <w:lang w:eastAsia="x-none"/>
        </w:rPr>
        <w:t>проводится капитальный</w:t>
      </w:r>
      <w:r w:rsidRPr="00E811BB">
        <w:rPr>
          <w:sz w:val="28"/>
          <w:szCs w:val="28"/>
          <w:lang w:eastAsia="x-none"/>
        </w:rPr>
        <w:t xml:space="preserve"> ремонт зданий МБОУ СОШ № 5 </w:t>
      </w:r>
      <w:r w:rsidRPr="00E811BB">
        <w:rPr>
          <w:sz w:val="28"/>
          <w:szCs w:val="28"/>
          <w:lang w:val="x-none" w:eastAsia="x-none"/>
        </w:rPr>
        <w:t>по адресу: г. Азов, ул.Г. Мирошниченко, 48</w:t>
      </w:r>
      <w:r w:rsidRPr="00E811BB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val="x-none" w:eastAsia="x-none"/>
        </w:rPr>
        <w:t xml:space="preserve"> ул. Кирова, 74</w:t>
      </w:r>
      <w:r w:rsidRPr="00E811BB">
        <w:rPr>
          <w:sz w:val="28"/>
          <w:szCs w:val="28"/>
          <w:lang w:eastAsia="x-none"/>
        </w:rPr>
        <w:t>.</w:t>
      </w:r>
    </w:p>
    <w:p w:rsidR="00E811BB" w:rsidRPr="00E811BB" w:rsidRDefault="00E811BB" w:rsidP="00667AC4">
      <w:pPr>
        <w:widowControl w:val="0"/>
        <w:suppressAutoHyphens w:val="0"/>
        <w:ind w:right="23"/>
        <w:jc w:val="both"/>
        <w:rPr>
          <w:sz w:val="28"/>
          <w:szCs w:val="28"/>
          <w:lang w:eastAsia="x-none"/>
        </w:rPr>
      </w:pPr>
      <w:r w:rsidRPr="00E811BB">
        <w:rPr>
          <w:sz w:val="28"/>
          <w:szCs w:val="28"/>
          <w:lang w:eastAsia="x-none"/>
        </w:rPr>
        <w:t>Также в плане проведения капитального ремонта находятся МБОУ СОШ № 11,14,15. Проводятся организационные работы.</w:t>
      </w:r>
    </w:p>
    <w:p w:rsidR="00E811BB" w:rsidRPr="00E811BB" w:rsidRDefault="00E811BB" w:rsidP="00667AC4">
      <w:pPr>
        <w:widowControl w:val="0"/>
        <w:tabs>
          <w:tab w:val="left" w:pos="709"/>
        </w:tabs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811BB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 </w:t>
      </w:r>
      <w:r w:rsidRPr="00E811BB">
        <w:rPr>
          <w:rFonts w:eastAsia="Lucida Sans Unicode" w:cs="Tahoma"/>
          <w:kern w:val="1"/>
          <w:sz w:val="28"/>
          <w:szCs w:val="28"/>
          <w:lang w:eastAsia="hi-IN" w:bidi="hi-IN"/>
        </w:rPr>
        <w:tab/>
        <w:t xml:space="preserve">В период 2025 - 2026 годов планируется </w:t>
      </w:r>
      <w:r w:rsidRPr="00E811BB">
        <w:rPr>
          <w:rFonts w:eastAsia="Lucida Sans Unicode" w:cs="Tahoma"/>
          <w:kern w:val="1"/>
          <w:sz w:val="28"/>
          <w:szCs w:val="28"/>
          <w:lang w:eastAsia="hi-IN" w:bidi="hi-IN"/>
        </w:rPr>
        <w:t>значение показателя</w:t>
      </w:r>
      <w:r w:rsidRPr="00E811BB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40%. В 2027 году – 27,3%.</w:t>
      </w:r>
    </w:p>
    <w:p w:rsidR="000A0895" w:rsidRPr="007F73EE" w:rsidRDefault="000A0895" w:rsidP="00667AC4">
      <w:pPr>
        <w:jc w:val="both"/>
        <w:rPr>
          <w:rFonts w:eastAsia="Lucida Sans Unicode"/>
          <w:kern w:val="2"/>
          <w:sz w:val="28"/>
          <w:szCs w:val="28"/>
          <w:highlight w:val="yellow"/>
          <w:lang w:eastAsia="hi-IN" w:bidi="hi-IN"/>
        </w:rPr>
      </w:pPr>
    </w:p>
    <w:p w:rsidR="00AA40BF" w:rsidRPr="00033D9E" w:rsidRDefault="00AA40BF" w:rsidP="00667AC4">
      <w:pPr>
        <w:ind w:firstLine="709"/>
        <w:jc w:val="both"/>
        <w:rPr>
          <w:b/>
          <w:sz w:val="28"/>
          <w:szCs w:val="28"/>
        </w:rPr>
      </w:pPr>
      <w:r w:rsidRPr="00033D9E">
        <w:rPr>
          <w:b/>
          <w:sz w:val="28"/>
          <w:szCs w:val="28"/>
        </w:rPr>
        <w:t>Показатель 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>В 2024 году показатель составил 91,5%, что соответствует запланированному и показателю предыдущего года (показатели 2023г.</w:t>
      </w:r>
      <w:r>
        <w:rPr>
          <w:color w:val="000000"/>
          <w:sz w:val="28"/>
          <w:szCs w:val="22"/>
          <w:lang w:eastAsia="ru-RU"/>
        </w:rPr>
        <w:t xml:space="preserve"> </w:t>
      </w:r>
      <w:r w:rsidRPr="00033D9E">
        <w:rPr>
          <w:color w:val="000000"/>
          <w:sz w:val="28"/>
          <w:szCs w:val="22"/>
          <w:lang w:eastAsia="ru-RU"/>
        </w:rPr>
        <w:t>- 91,0%; в 2022г.</w:t>
      </w:r>
      <w:r>
        <w:rPr>
          <w:color w:val="000000"/>
          <w:sz w:val="28"/>
          <w:szCs w:val="22"/>
          <w:lang w:eastAsia="ru-RU"/>
        </w:rPr>
        <w:t xml:space="preserve"> </w:t>
      </w:r>
      <w:r w:rsidRPr="00033D9E">
        <w:rPr>
          <w:color w:val="000000"/>
          <w:sz w:val="28"/>
          <w:szCs w:val="22"/>
          <w:lang w:eastAsia="ru-RU"/>
        </w:rPr>
        <w:t xml:space="preserve">- 91,0%). 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 xml:space="preserve">По итогам 1 квартала 2025 года показатель составил 91,5%, что соответствует запланированному на 2025 год. 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 xml:space="preserve">Не снижение показателя от запланированного было достигнуто совместной работой ГАУ РО «ЦГБ» в г. Азове и Управления образования. В городе реализуются мероприятия по здоровье - сберегающим технологиям. Это и проведение диспансеризации детей, и работа в восьми общеобразовательных учреждениях диагностического программного комплекса «АРМИС» для скрининг - диагностики отклонений в здоровье </w:t>
      </w:r>
      <w:r w:rsidRPr="00033D9E">
        <w:rPr>
          <w:color w:val="000000"/>
          <w:sz w:val="28"/>
          <w:szCs w:val="22"/>
          <w:lang w:eastAsia="ru-RU"/>
        </w:rPr>
        <w:lastRenderedPageBreak/>
        <w:t>учащихся на ранних этапах с последующим оздоровлением учащихся, имеющих отклонение в здоровье, и работа с 2011 года мероприятий «мини-поликлиники» в образовательных учреждениях, и проведение капитальных ремонтов учреждений.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>Продолжено оснащение образовательных учреждений новой мебелью, что в перспективе позволит улучшить осанку учащихся, снизить процент числа больных с заболеваниями опорно-двигательного аппарата, а также с заболеваниями глаз.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>Проведенные капитальные ремонты в части МБОУ СОШ позволили улучшить условия пребывания учащихся в стенах образовательных учреждений и созданы условия для занятий физической культурой учащихся, как в спортивных залах, так и на пришкольных участках, что также будет благотворно влиять на здоровье детей.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>С 2013 года в образовательных учреждениях города новое развитие получила физкультурная подготовка не только здоровых детей, но и детей, имеющих отклонения в здоровье по четырем группам специальной подготовки.</w:t>
      </w:r>
    </w:p>
    <w:p w:rsidR="00033D9E" w:rsidRPr="00033D9E" w:rsidRDefault="00033D9E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033D9E">
        <w:rPr>
          <w:color w:val="000000"/>
          <w:sz w:val="28"/>
          <w:szCs w:val="22"/>
          <w:lang w:eastAsia="ru-RU"/>
        </w:rPr>
        <w:t xml:space="preserve">В 2021 году был проведен капитальный ремонт здания детской поликлиники по адресу: г. Азов, ул. Васильева 96/13 и закончено оснащение медицинским оборудованием, в соответствии с требованиями Порядков оказания медицинской помощи, утвержденными приказами министерства здравоохранения Российской Федерации, что позволило более качественно проводить диагностику и лечение детей на ранних этапах заболевания. </w:t>
      </w:r>
    </w:p>
    <w:p w:rsidR="00083B1B" w:rsidRPr="00114CF6" w:rsidRDefault="00083B1B" w:rsidP="00667AC4">
      <w:pPr>
        <w:suppressAutoHyphens w:val="0"/>
        <w:ind w:left="-15" w:right="-15" w:firstLine="709"/>
        <w:jc w:val="both"/>
        <w:rPr>
          <w:color w:val="000000"/>
          <w:sz w:val="28"/>
          <w:szCs w:val="22"/>
          <w:lang w:eastAsia="ru-RU"/>
        </w:rPr>
      </w:pPr>
      <w:r w:rsidRPr="00114CF6">
        <w:rPr>
          <w:color w:val="000000"/>
          <w:sz w:val="28"/>
          <w:szCs w:val="22"/>
          <w:lang w:eastAsia="ru-RU"/>
        </w:rPr>
        <w:t xml:space="preserve">Комплексный подход к сохранению здоровья учащихся образовательных учреждений позволит </w:t>
      </w:r>
      <w:r w:rsidR="00183544">
        <w:rPr>
          <w:color w:val="000000"/>
          <w:sz w:val="28"/>
          <w:szCs w:val="22"/>
          <w:lang w:eastAsia="ru-RU"/>
        </w:rPr>
        <w:t>удержать</w:t>
      </w:r>
      <w:r w:rsidR="00114CF6" w:rsidRPr="00114CF6">
        <w:rPr>
          <w:color w:val="000000"/>
          <w:sz w:val="28"/>
          <w:szCs w:val="22"/>
          <w:lang w:eastAsia="ru-RU"/>
        </w:rPr>
        <w:t xml:space="preserve"> </w:t>
      </w:r>
      <w:r w:rsidRPr="00114CF6">
        <w:rPr>
          <w:color w:val="000000"/>
          <w:sz w:val="28"/>
          <w:szCs w:val="22"/>
          <w:lang w:eastAsia="ru-RU"/>
        </w:rPr>
        <w:t xml:space="preserve">показатель доли детей первой и второй групп здоровья в общей численности, обучающихся </w:t>
      </w:r>
      <w:r w:rsidR="00114CF6" w:rsidRPr="00114CF6">
        <w:rPr>
          <w:color w:val="000000"/>
          <w:sz w:val="28"/>
          <w:szCs w:val="22"/>
          <w:lang w:eastAsia="ru-RU"/>
        </w:rPr>
        <w:t>на уровне</w:t>
      </w:r>
      <w:r w:rsidRPr="00114CF6">
        <w:rPr>
          <w:color w:val="000000"/>
          <w:sz w:val="28"/>
          <w:szCs w:val="22"/>
          <w:lang w:eastAsia="ru-RU"/>
        </w:rPr>
        <w:t xml:space="preserve"> – 91,5%).</w:t>
      </w:r>
    </w:p>
    <w:p w:rsidR="00AA40BF" w:rsidRPr="007F73EE" w:rsidRDefault="00AA40BF" w:rsidP="00667AC4">
      <w:pPr>
        <w:ind w:firstLine="709"/>
        <w:jc w:val="both"/>
        <w:rPr>
          <w:sz w:val="28"/>
          <w:szCs w:val="28"/>
          <w:highlight w:val="yellow"/>
        </w:rPr>
      </w:pPr>
    </w:p>
    <w:p w:rsidR="009D56C5" w:rsidRPr="00183544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183544">
        <w:rPr>
          <w:rFonts w:eastAsia="Lucida Sans Unicode"/>
          <w:b/>
          <w:kern w:val="2"/>
          <w:sz w:val="28"/>
          <w:szCs w:val="28"/>
          <w:lang w:eastAsia="hi-IN" w:bidi="hi-IN"/>
        </w:rPr>
        <w:t>Показатель 17.  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учреждениях.</w:t>
      </w:r>
    </w:p>
    <w:p w:rsidR="004564B8" w:rsidRPr="00063D52" w:rsidRDefault="004564B8" w:rsidP="00667AC4">
      <w:pPr>
        <w:ind w:firstLine="694"/>
        <w:jc w:val="both"/>
        <w:rPr>
          <w:sz w:val="28"/>
          <w:szCs w:val="28"/>
        </w:rPr>
      </w:pPr>
      <w:r w:rsidRPr="00063D52">
        <w:rPr>
          <w:sz w:val="28"/>
          <w:szCs w:val="28"/>
        </w:rPr>
        <w:t>В отчётном периоде доля обучающихся, занимающихся во вторую смену составила в 2024</w:t>
      </w:r>
      <w:r>
        <w:rPr>
          <w:sz w:val="28"/>
          <w:szCs w:val="28"/>
        </w:rPr>
        <w:t xml:space="preserve"> году – 31,47</w:t>
      </w:r>
      <w:r w:rsidRPr="00063D52">
        <w:rPr>
          <w:sz w:val="28"/>
          <w:szCs w:val="28"/>
        </w:rPr>
        <w:t xml:space="preserve">%. </w:t>
      </w:r>
      <w:r w:rsidRPr="00063D52">
        <w:rPr>
          <w:sz w:val="28"/>
          <w:szCs w:val="28"/>
          <w:lang w:eastAsia="ru-RU"/>
        </w:rPr>
        <w:t xml:space="preserve">Произошло увеличение обучающихся </w:t>
      </w:r>
      <w:r w:rsidRPr="00063D52">
        <w:rPr>
          <w:sz w:val="28"/>
          <w:szCs w:val="28"/>
          <w:lang w:eastAsia="ru-RU"/>
        </w:rPr>
        <w:t>в 2024</w:t>
      </w:r>
      <w:r w:rsidRPr="00063D52">
        <w:rPr>
          <w:sz w:val="28"/>
          <w:szCs w:val="28"/>
          <w:lang w:eastAsia="ru-RU"/>
        </w:rPr>
        <w:t xml:space="preserve">- 2025 учебном году. МБОУ СОШ № 16 г. Азова приступила к учебным занятиям на базе МБОУ СОШ № 14 г. Азова в количестве 230 человек во вторую смену. С 09.01.2024 года начался капитальный ремонт МБОУ СОШ № 5 г. Азова, учащиеся в количестве 324 человек занимаются в зданиях МБОУ СОШ № 15 г. Азова и бывшем здании вечерней школы. </w:t>
      </w:r>
      <w:r w:rsidRPr="00063D52">
        <w:rPr>
          <w:sz w:val="28"/>
          <w:szCs w:val="28"/>
        </w:rPr>
        <w:t xml:space="preserve">Таким образом, до 2025 года в городе Азове сохранится действующая сеть общеобразовательных учреждений. Значения показателя   планируется в 2025, 2026 годах – </w:t>
      </w:r>
      <w:r w:rsidR="0055277D">
        <w:rPr>
          <w:sz w:val="28"/>
          <w:szCs w:val="28"/>
        </w:rPr>
        <w:t>30,45</w:t>
      </w:r>
      <w:r w:rsidRPr="00063D52">
        <w:rPr>
          <w:sz w:val="28"/>
          <w:szCs w:val="28"/>
        </w:rPr>
        <w:t>%, в 2027 году – 20%</w:t>
      </w:r>
      <w:r w:rsidR="0055277D">
        <w:rPr>
          <w:sz w:val="28"/>
          <w:szCs w:val="28"/>
        </w:rPr>
        <w:t>.</w:t>
      </w:r>
    </w:p>
    <w:p w:rsidR="00B65C10" w:rsidRPr="007F73EE" w:rsidRDefault="00B65C10" w:rsidP="00667AC4">
      <w:pPr>
        <w:widowControl w:val="0"/>
        <w:jc w:val="both"/>
        <w:rPr>
          <w:sz w:val="28"/>
          <w:szCs w:val="28"/>
          <w:highlight w:val="yellow"/>
        </w:rPr>
      </w:pPr>
    </w:p>
    <w:p w:rsidR="00AA40BF" w:rsidRPr="00FB17D6" w:rsidRDefault="00AA40BF" w:rsidP="00667AC4">
      <w:pPr>
        <w:widowControl w:val="0"/>
        <w:ind w:firstLine="709"/>
        <w:jc w:val="both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FB17D6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Показатель 18. Расходы бюджета муниципального образования на общее образование в расчёте на 1 обучающегося в муниципальных </w:t>
      </w:r>
      <w:r w:rsidRPr="00FB17D6">
        <w:rPr>
          <w:rFonts w:eastAsia="Lucida Sans Unicode"/>
          <w:b/>
          <w:kern w:val="2"/>
          <w:sz w:val="28"/>
          <w:szCs w:val="28"/>
          <w:lang w:eastAsia="hi-IN" w:bidi="hi-IN"/>
        </w:rPr>
        <w:lastRenderedPageBreak/>
        <w:t>общеобразовательных учреждениях.</w:t>
      </w:r>
    </w:p>
    <w:p w:rsidR="00FB17D6" w:rsidRPr="00FB17D6" w:rsidRDefault="00FB17D6" w:rsidP="00667AC4">
      <w:pPr>
        <w:widowControl w:val="0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B17D6">
        <w:rPr>
          <w:rFonts w:eastAsia="Lucida Sans Unicode" w:cs="Tahoma"/>
          <w:kern w:val="1"/>
          <w:sz w:val="28"/>
          <w:szCs w:val="28"/>
          <w:lang w:eastAsia="hi-IN" w:bidi="hi-IN"/>
        </w:rPr>
        <w:t>Расходы бюджета муниципального образования на общее образование в расчёте на 1 обучающегося составили в 2024 году – 50,54 тыс. руб. Данная сумма сложилась в связи с продолжением строительства двух новых школ в городе. Также включены расходы по капитальному ремонту зданий МБОУ СОШ  № 5 г. Азова и  предусмотрены средства областным законом на 2024 – 2026 годы на выполнение Указов Президента Российской Федерации № 597,761.</w:t>
      </w:r>
    </w:p>
    <w:p w:rsidR="00FB17D6" w:rsidRPr="00FB17D6" w:rsidRDefault="00FB17D6" w:rsidP="00667AC4">
      <w:pPr>
        <w:widowControl w:val="0"/>
        <w:ind w:firstLine="708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B17D6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В плановый период ожидается значение показателя: 2025 год – 47,4 тыс. рублей, 2026 год – 47,4 тыс. рублей, 2027 год – 47,4 тыс. рублей. </w:t>
      </w:r>
    </w:p>
    <w:p w:rsidR="0090692B" w:rsidRPr="007F73EE" w:rsidRDefault="0090692B" w:rsidP="00667AC4">
      <w:pPr>
        <w:widowControl w:val="0"/>
        <w:jc w:val="both"/>
        <w:rPr>
          <w:rFonts w:eastAsia="Lucida Sans Unicode"/>
          <w:b/>
          <w:kern w:val="2"/>
          <w:sz w:val="28"/>
          <w:szCs w:val="28"/>
          <w:highlight w:val="yellow"/>
          <w:lang w:eastAsia="hi-IN" w:bidi="hi-IN"/>
        </w:rPr>
      </w:pPr>
    </w:p>
    <w:p w:rsidR="00AA40BF" w:rsidRDefault="00AA40BF" w:rsidP="00667AC4">
      <w:pPr>
        <w:ind w:firstLine="709"/>
        <w:jc w:val="both"/>
        <w:rPr>
          <w:sz w:val="28"/>
          <w:szCs w:val="28"/>
          <w:lang w:eastAsia="ru-RU"/>
        </w:rPr>
      </w:pPr>
      <w:r w:rsidRPr="003C2EE8">
        <w:rPr>
          <w:b/>
          <w:sz w:val="28"/>
          <w:szCs w:val="28"/>
        </w:rPr>
        <w:t>Показатель 19. Доля детей в возрасте 5-18 лет, полу</w:t>
      </w:r>
      <w:r w:rsidR="00564B48" w:rsidRPr="003C2EE8">
        <w:rPr>
          <w:b/>
          <w:sz w:val="28"/>
          <w:szCs w:val="28"/>
        </w:rPr>
        <w:t xml:space="preserve">чающих услуги по </w:t>
      </w:r>
      <w:r w:rsidRPr="003C2EE8">
        <w:rPr>
          <w:b/>
          <w:sz w:val="28"/>
          <w:szCs w:val="28"/>
        </w:rPr>
        <w:t>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категории</w:t>
      </w:r>
      <w:r w:rsidRPr="003C2EE8">
        <w:rPr>
          <w:sz w:val="28"/>
          <w:szCs w:val="28"/>
          <w:lang w:eastAsia="ru-RU"/>
        </w:rPr>
        <w:t>.</w:t>
      </w:r>
    </w:p>
    <w:p w:rsidR="003C2EE8" w:rsidRPr="003C2EE8" w:rsidRDefault="00EF0D29" w:rsidP="00667AC4">
      <w:pPr>
        <w:ind w:firstLine="709"/>
        <w:jc w:val="both"/>
        <w:rPr>
          <w:sz w:val="28"/>
          <w:szCs w:val="28"/>
          <w:lang w:eastAsia="ru-RU"/>
        </w:rPr>
      </w:pPr>
      <w:r w:rsidRPr="00063D52">
        <w:rPr>
          <w:sz w:val="28"/>
          <w:szCs w:val="28"/>
        </w:rPr>
        <w:t>Число учреждений дополнительного образования составляет - 7. В плановом периоде 202</w:t>
      </w:r>
      <w:r>
        <w:rPr>
          <w:sz w:val="28"/>
          <w:szCs w:val="28"/>
        </w:rPr>
        <w:t xml:space="preserve">5 </w:t>
      </w:r>
      <w:r w:rsidRPr="00063D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3D52">
        <w:rPr>
          <w:sz w:val="28"/>
          <w:szCs w:val="28"/>
        </w:rPr>
        <w:t xml:space="preserve">2027 годов расширение муниципальной сети учреждений дополнительного образования детей не предполагается. Общеобразовательные учреждения организуют образовательный процесс в соответствии с требованиями ФГОС ООО. Государственные образовательные стандарты </w:t>
      </w:r>
      <w:r w:rsidRPr="00063D52">
        <w:rPr>
          <w:sz w:val="28"/>
          <w:szCs w:val="28"/>
        </w:rPr>
        <w:t>предполагают обязательное</w:t>
      </w:r>
      <w:r w:rsidRPr="00063D52">
        <w:rPr>
          <w:sz w:val="28"/>
          <w:szCs w:val="28"/>
        </w:rPr>
        <w:t xml:space="preserve"> проведение внеурочной деятельность, которая не является дополнительным образованием. За 202</w:t>
      </w:r>
      <w:r w:rsidR="0061715C">
        <w:rPr>
          <w:sz w:val="28"/>
          <w:szCs w:val="28"/>
        </w:rPr>
        <w:t>4</w:t>
      </w:r>
      <w:r w:rsidRPr="00063D52">
        <w:rPr>
          <w:sz w:val="28"/>
          <w:szCs w:val="28"/>
        </w:rPr>
        <w:t xml:space="preserve"> год доля детей в возрасте 5-18 лет, получающих услуги дополнительного образования на территории города </w:t>
      </w:r>
      <w:r w:rsidR="0061715C" w:rsidRPr="00063D52">
        <w:rPr>
          <w:sz w:val="28"/>
          <w:szCs w:val="28"/>
        </w:rPr>
        <w:t>Азова, составляет</w:t>
      </w:r>
      <w:r>
        <w:rPr>
          <w:sz w:val="28"/>
          <w:szCs w:val="28"/>
        </w:rPr>
        <w:t xml:space="preserve"> – 52,58</w:t>
      </w:r>
      <w:r w:rsidRPr="00063D52">
        <w:rPr>
          <w:sz w:val="28"/>
          <w:szCs w:val="28"/>
        </w:rPr>
        <w:t>%. Этот показатель на плановый период составит в 2025 году- 76%, в 2026 – 76%, в 2027 – 76%.</w:t>
      </w:r>
    </w:p>
    <w:p w:rsidR="00D76944" w:rsidRPr="007F73EE" w:rsidRDefault="00D76944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AA40BF" w:rsidRPr="007425B5" w:rsidRDefault="00AA40BF" w:rsidP="00667AC4">
      <w:pPr>
        <w:ind w:firstLine="709"/>
        <w:jc w:val="center"/>
        <w:rPr>
          <w:b/>
          <w:sz w:val="28"/>
          <w:szCs w:val="28"/>
        </w:rPr>
      </w:pPr>
      <w:r w:rsidRPr="007425B5">
        <w:rPr>
          <w:b/>
          <w:sz w:val="28"/>
          <w:szCs w:val="28"/>
          <w:lang w:val="en-US"/>
        </w:rPr>
        <w:t>IV</w:t>
      </w:r>
      <w:r w:rsidRPr="007425B5">
        <w:rPr>
          <w:b/>
          <w:sz w:val="28"/>
          <w:szCs w:val="28"/>
        </w:rPr>
        <w:t>. Культура</w:t>
      </w:r>
    </w:p>
    <w:p w:rsidR="00AA40BF" w:rsidRPr="007425B5" w:rsidRDefault="00AA40BF" w:rsidP="00667AC4">
      <w:pPr>
        <w:ind w:firstLine="709"/>
        <w:jc w:val="both"/>
        <w:rPr>
          <w:b/>
          <w:sz w:val="28"/>
          <w:szCs w:val="28"/>
        </w:rPr>
      </w:pPr>
    </w:p>
    <w:p w:rsidR="00AA40BF" w:rsidRPr="007425B5" w:rsidRDefault="00AA40BF" w:rsidP="00667AC4">
      <w:pPr>
        <w:suppressAutoHyphens w:val="0"/>
        <w:ind w:right="-81" w:firstLine="709"/>
        <w:jc w:val="both"/>
        <w:rPr>
          <w:b/>
          <w:bCs/>
          <w:sz w:val="28"/>
          <w:szCs w:val="28"/>
          <w:lang w:eastAsia="ru-RU"/>
        </w:rPr>
      </w:pPr>
      <w:r w:rsidRPr="007425B5">
        <w:rPr>
          <w:b/>
          <w:bCs/>
          <w:sz w:val="28"/>
          <w:szCs w:val="28"/>
          <w:lang w:eastAsia="ru-RU"/>
        </w:rPr>
        <w:t>Показатель 20. Уровень фактической обеспеченности учреждениями культуры от нормативной потребности:</w:t>
      </w:r>
    </w:p>
    <w:p w:rsidR="00AA40BF" w:rsidRPr="001F73C1" w:rsidRDefault="00AA40BF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F73C1">
        <w:rPr>
          <w:sz w:val="28"/>
          <w:szCs w:val="28"/>
        </w:rPr>
        <w:t>Фактическая обеспеченность учреждениями культуры и искусства остается на одном уровне, так как расширения или сокращения сети учреждений культуры не происходит:</w:t>
      </w:r>
    </w:p>
    <w:p w:rsidR="00AA40BF" w:rsidRPr="001F73C1" w:rsidRDefault="00AA40BF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F73C1">
        <w:rPr>
          <w:sz w:val="28"/>
          <w:szCs w:val="28"/>
        </w:rPr>
        <w:t>- уровень обеспеченности клубами и учреждениями клубного типа в 202</w:t>
      </w:r>
      <w:r w:rsidR="007B46DA" w:rsidRPr="001F73C1">
        <w:rPr>
          <w:sz w:val="28"/>
          <w:szCs w:val="28"/>
        </w:rPr>
        <w:t>4</w:t>
      </w:r>
      <w:r w:rsidRPr="001F73C1">
        <w:rPr>
          <w:sz w:val="28"/>
          <w:szCs w:val="28"/>
        </w:rPr>
        <w:t xml:space="preserve"> году составил </w:t>
      </w:r>
      <w:r w:rsidR="007B46DA" w:rsidRPr="001F73C1">
        <w:rPr>
          <w:sz w:val="28"/>
          <w:szCs w:val="28"/>
        </w:rPr>
        <w:t>2</w:t>
      </w:r>
      <w:r w:rsidRPr="001F73C1">
        <w:rPr>
          <w:sz w:val="28"/>
          <w:szCs w:val="28"/>
        </w:rPr>
        <w:t>5%. Этот уровень будет сохранен в дальнейшем, так как создание новых учреждений клубного типа требует значительных финансовых вложений из бюджета города;</w:t>
      </w:r>
    </w:p>
    <w:p w:rsidR="00AA40BF" w:rsidRPr="001F73C1" w:rsidRDefault="00AA40BF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F73C1">
        <w:rPr>
          <w:sz w:val="28"/>
          <w:szCs w:val="28"/>
        </w:rPr>
        <w:t>- уровень обеспеченности библиотеками в 202</w:t>
      </w:r>
      <w:r w:rsidR="007B46DA" w:rsidRPr="001F73C1">
        <w:rPr>
          <w:sz w:val="28"/>
          <w:szCs w:val="28"/>
        </w:rPr>
        <w:t>4</w:t>
      </w:r>
      <w:r w:rsidR="00E31022" w:rsidRPr="001F73C1">
        <w:rPr>
          <w:sz w:val="28"/>
          <w:szCs w:val="28"/>
        </w:rPr>
        <w:t xml:space="preserve"> году составил 1</w:t>
      </w:r>
      <w:r w:rsidR="007B46DA" w:rsidRPr="001F73C1">
        <w:rPr>
          <w:sz w:val="28"/>
          <w:szCs w:val="28"/>
        </w:rPr>
        <w:t>00</w:t>
      </w:r>
      <w:r w:rsidRPr="001F73C1">
        <w:rPr>
          <w:sz w:val="28"/>
          <w:szCs w:val="28"/>
        </w:rPr>
        <w:t>%, этот уровень сохранен в дальнейшем;</w:t>
      </w:r>
    </w:p>
    <w:p w:rsidR="00BC066B" w:rsidRPr="001F73C1" w:rsidRDefault="00AA40BF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F73C1">
        <w:rPr>
          <w:sz w:val="28"/>
          <w:szCs w:val="28"/>
        </w:rPr>
        <w:t>- уровень обеспеченности парками культуры и отдыха в 202</w:t>
      </w:r>
      <w:r w:rsidR="001F73C1" w:rsidRPr="001F73C1">
        <w:rPr>
          <w:sz w:val="28"/>
          <w:szCs w:val="28"/>
        </w:rPr>
        <w:t>4</w:t>
      </w:r>
      <w:r w:rsidRPr="001F73C1">
        <w:rPr>
          <w:sz w:val="28"/>
          <w:szCs w:val="28"/>
        </w:rPr>
        <w:t xml:space="preserve"> году составил 0%,</w:t>
      </w:r>
      <w:r w:rsidR="00F42610" w:rsidRPr="001F73C1">
        <w:rPr>
          <w:sz w:val="28"/>
          <w:szCs w:val="28"/>
        </w:rPr>
        <w:t xml:space="preserve"> это</w:t>
      </w:r>
      <w:r w:rsidR="00E31022" w:rsidRPr="001F73C1">
        <w:rPr>
          <w:sz w:val="28"/>
          <w:szCs w:val="28"/>
        </w:rPr>
        <w:t>т уровень сохранен в дальнейшем.</w:t>
      </w:r>
    </w:p>
    <w:p w:rsidR="00AA40BF" w:rsidRPr="001F73C1" w:rsidRDefault="00AA40BF" w:rsidP="00667AC4">
      <w:pPr>
        <w:tabs>
          <w:tab w:val="left" w:pos="709"/>
          <w:tab w:val="left" w:pos="993"/>
          <w:tab w:val="left" w:pos="1276"/>
        </w:tabs>
        <w:suppressAutoHyphens w:val="0"/>
        <w:ind w:right="-81" w:firstLine="709"/>
        <w:jc w:val="both"/>
        <w:rPr>
          <w:sz w:val="28"/>
          <w:szCs w:val="28"/>
          <w:lang w:eastAsia="ru-RU"/>
        </w:rPr>
      </w:pPr>
    </w:p>
    <w:p w:rsidR="00AA40BF" w:rsidRPr="0094564F" w:rsidRDefault="00AA40BF" w:rsidP="00667AC4">
      <w:pPr>
        <w:suppressAutoHyphens w:val="0"/>
        <w:ind w:right="-81" w:firstLine="709"/>
        <w:jc w:val="both"/>
        <w:rPr>
          <w:b/>
          <w:bCs/>
          <w:sz w:val="28"/>
          <w:szCs w:val="28"/>
          <w:lang w:eastAsia="ru-RU"/>
        </w:rPr>
      </w:pPr>
      <w:r w:rsidRPr="0094564F">
        <w:rPr>
          <w:b/>
          <w:bCs/>
          <w:sz w:val="28"/>
          <w:szCs w:val="28"/>
          <w:lang w:eastAsia="ru-RU"/>
        </w:rPr>
        <w:t>Показатель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94564F" w:rsidRPr="0094564F" w:rsidRDefault="0094564F" w:rsidP="00667AC4">
      <w:pPr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 w:rsidRPr="0094564F">
        <w:rPr>
          <w:sz w:val="28"/>
          <w:szCs w:val="28"/>
        </w:rPr>
        <w:lastRenderedPageBreak/>
        <w:t>Показатель доли муниципальных учреждений, здания которых находятся в аварийном состоянии или требуют капитального ремонта в 2024 году составляет 0% (</w:t>
      </w:r>
      <w:r w:rsidRPr="0094564F">
        <w:rPr>
          <w:bCs/>
          <w:sz w:val="28"/>
          <w:szCs w:val="28"/>
        </w:rPr>
        <w:t>2023 году – 33.33%, в 2022 году - 0%).</w:t>
      </w:r>
    </w:p>
    <w:p w:rsidR="0094564F" w:rsidRPr="0094564F" w:rsidRDefault="0094564F" w:rsidP="00667AC4">
      <w:pPr>
        <w:suppressAutoHyphens w:val="0"/>
        <w:ind w:right="-81" w:firstLine="708"/>
        <w:jc w:val="both"/>
        <w:rPr>
          <w:sz w:val="28"/>
          <w:szCs w:val="28"/>
        </w:rPr>
      </w:pPr>
      <w:r w:rsidRPr="0094564F">
        <w:rPr>
          <w:sz w:val="28"/>
          <w:szCs w:val="28"/>
        </w:rPr>
        <w:t>В 2025, 2026, 2027 годах изменение данного показателя не ожидается.</w:t>
      </w:r>
    </w:p>
    <w:p w:rsidR="0094564F" w:rsidRPr="007F73EE" w:rsidRDefault="0094564F" w:rsidP="00667AC4">
      <w:pPr>
        <w:suppressAutoHyphens w:val="0"/>
        <w:ind w:right="-81" w:firstLine="709"/>
        <w:jc w:val="both"/>
        <w:rPr>
          <w:b/>
          <w:bCs/>
          <w:sz w:val="28"/>
          <w:szCs w:val="28"/>
          <w:highlight w:val="yellow"/>
          <w:lang w:eastAsia="ru-RU"/>
        </w:rPr>
      </w:pPr>
    </w:p>
    <w:p w:rsidR="00AA40BF" w:rsidRPr="00C023B6" w:rsidRDefault="00AA40BF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C023B6">
        <w:rPr>
          <w:b/>
          <w:bCs/>
          <w:sz w:val="28"/>
          <w:szCs w:val="28"/>
          <w:lang w:eastAsia="ru-RU"/>
        </w:rPr>
        <w:t>Показатель 22</w:t>
      </w:r>
      <w:r w:rsidRPr="00C023B6">
        <w:rPr>
          <w:sz w:val="28"/>
          <w:szCs w:val="28"/>
          <w:lang w:eastAsia="ru-RU"/>
        </w:rPr>
        <w:t xml:space="preserve">. </w:t>
      </w:r>
      <w:r w:rsidRPr="00C023B6">
        <w:rPr>
          <w:b/>
          <w:bCs/>
          <w:sz w:val="28"/>
          <w:szCs w:val="28"/>
          <w:lang w:eastAsia="ru-RU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  <w:r w:rsidRPr="00C023B6">
        <w:rPr>
          <w:sz w:val="28"/>
          <w:szCs w:val="28"/>
        </w:rPr>
        <w:t xml:space="preserve"> </w:t>
      </w:r>
    </w:p>
    <w:p w:rsidR="00C023B6" w:rsidRPr="00C023B6" w:rsidRDefault="00C023B6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C023B6">
        <w:rPr>
          <w:sz w:val="28"/>
          <w:szCs w:val="28"/>
        </w:rPr>
        <w:t>В 2024 году данный показатель составил 8%.</w:t>
      </w:r>
    </w:p>
    <w:p w:rsidR="00C023B6" w:rsidRPr="00C023B6" w:rsidRDefault="00C023B6" w:rsidP="00667AC4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C023B6">
        <w:rPr>
          <w:sz w:val="28"/>
          <w:szCs w:val="28"/>
        </w:rPr>
        <w:t>Регулярное проведение охранных мероприятий, проводимых муниципальными службами города по содержанию памятников, находящихся в муниципальной собственности, позволит сохранить значение показателя на уровне 8% в 2025, 2026, 2027 годах, поскольку финансирования на реставрацию объектов культурного наследия на данный период не предусмотрено.</w:t>
      </w:r>
    </w:p>
    <w:p w:rsidR="00C023B6" w:rsidRPr="00C023B6" w:rsidRDefault="00C023B6" w:rsidP="00667AC4">
      <w:pPr>
        <w:ind w:right="-1" w:firstLine="709"/>
        <w:jc w:val="both"/>
        <w:rPr>
          <w:sz w:val="28"/>
          <w:szCs w:val="28"/>
        </w:rPr>
      </w:pPr>
      <w:r w:rsidRPr="00C023B6">
        <w:rPr>
          <w:sz w:val="28"/>
          <w:szCs w:val="28"/>
        </w:rPr>
        <w:t>В 2018 году на основании постановления администрации города Азова от 29.05.2018 № 1183 «О создании межведомственной комиссии по сохранению архитектурно-художественной и исторической среды города Азова при Градостроительном Совете администрации города Азова» проведена инвентаризация объектов культурного наследия, расположенных на территории города Азова. Все акты и фотографии обследованных объектов размещены на официальном сайте администрации города Азова в разделе «Документы», подраздел «Информационная система обеспечения градостроительной деятельности».</w:t>
      </w:r>
    </w:p>
    <w:p w:rsidR="00C023B6" w:rsidRDefault="00C023B6" w:rsidP="00667AC4">
      <w:pPr>
        <w:suppressAutoHyphens w:val="0"/>
        <w:spacing w:after="3"/>
        <w:ind w:right="66" w:firstLine="694"/>
        <w:jc w:val="both"/>
        <w:rPr>
          <w:color w:val="000000"/>
          <w:sz w:val="28"/>
          <w:szCs w:val="22"/>
          <w:highlight w:val="yellow"/>
          <w:lang w:eastAsia="ru-RU"/>
        </w:rPr>
      </w:pPr>
    </w:p>
    <w:p w:rsidR="00AA40BF" w:rsidRPr="00E84FB6" w:rsidRDefault="00AA40BF" w:rsidP="00667AC4">
      <w:pPr>
        <w:ind w:firstLine="709"/>
        <w:jc w:val="center"/>
        <w:rPr>
          <w:b/>
          <w:sz w:val="28"/>
          <w:szCs w:val="28"/>
        </w:rPr>
      </w:pPr>
      <w:r w:rsidRPr="00E84FB6">
        <w:rPr>
          <w:b/>
          <w:sz w:val="28"/>
          <w:szCs w:val="28"/>
          <w:lang w:val="en-US"/>
        </w:rPr>
        <w:t>V</w:t>
      </w:r>
      <w:r w:rsidRPr="00E84FB6">
        <w:rPr>
          <w:b/>
          <w:sz w:val="28"/>
          <w:szCs w:val="28"/>
        </w:rPr>
        <w:t>. Физическая культура и спорт</w:t>
      </w:r>
    </w:p>
    <w:p w:rsidR="00AA40BF" w:rsidRPr="00E84FB6" w:rsidRDefault="00AA40BF" w:rsidP="00667AC4">
      <w:pPr>
        <w:ind w:firstLine="709"/>
        <w:jc w:val="both"/>
        <w:rPr>
          <w:b/>
          <w:sz w:val="28"/>
          <w:szCs w:val="28"/>
        </w:rPr>
      </w:pPr>
    </w:p>
    <w:p w:rsidR="00E24118" w:rsidRPr="00E84FB6" w:rsidRDefault="00AA40BF" w:rsidP="00667AC4">
      <w:pPr>
        <w:ind w:firstLine="709"/>
        <w:jc w:val="both"/>
        <w:outlineLvl w:val="0"/>
        <w:rPr>
          <w:sz w:val="28"/>
          <w:szCs w:val="28"/>
        </w:rPr>
      </w:pPr>
      <w:r w:rsidRPr="00E84FB6">
        <w:rPr>
          <w:b/>
          <w:sz w:val="28"/>
          <w:szCs w:val="28"/>
        </w:rPr>
        <w:t>Показатель 23. Доля населения, систематически занимающегося физической культурой и спортом</w:t>
      </w:r>
      <w:r w:rsidRPr="00E84FB6">
        <w:rPr>
          <w:sz w:val="28"/>
          <w:szCs w:val="28"/>
        </w:rPr>
        <w:t xml:space="preserve">: </w:t>
      </w:r>
    </w:p>
    <w:p w:rsidR="00E24118" w:rsidRPr="00E84FB6" w:rsidRDefault="00E24118" w:rsidP="00667AC4">
      <w:pPr>
        <w:tabs>
          <w:tab w:val="left" w:pos="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84FB6">
        <w:rPr>
          <w:sz w:val="28"/>
          <w:szCs w:val="28"/>
          <w:lang w:eastAsia="ru-RU"/>
        </w:rPr>
        <w:t>В 202</w:t>
      </w:r>
      <w:r w:rsidR="00E84FB6" w:rsidRPr="00E84FB6">
        <w:rPr>
          <w:sz w:val="28"/>
          <w:szCs w:val="28"/>
          <w:lang w:eastAsia="ru-RU"/>
        </w:rPr>
        <w:t>4</w:t>
      </w:r>
      <w:r w:rsidRPr="00E84FB6">
        <w:rPr>
          <w:sz w:val="28"/>
          <w:szCs w:val="28"/>
          <w:lang w:eastAsia="ru-RU"/>
        </w:rPr>
        <w:t xml:space="preserve"> году увеличение показателя до </w:t>
      </w:r>
      <w:r w:rsidR="00E84FB6" w:rsidRPr="00E84FB6">
        <w:rPr>
          <w:sz w:val="28"/>
          <w:szCs w:val="28"/>
          <w:lang w:eastAsia="ru-RU"/>
        </w:rPr>
        <w:t>58,8</w:t>
      </w:r>
      <w:r w:rsidRPr="00E84FB6">
        <w:rPr>
          <w:sz w:val="28"/>
          <w:szCs w:val="28"/>
          <w:lang w:eastAsia="ru-RU"/>
        </w:rPr>
        <w:t xml:space="preserve"> %, за счет предоставления платных услуг по плаванию, тренажерных и спортивных залов, спортивной базы МАУ г. Азова «СК им. Э.П. Лакомова» для занятий по видам спорта, приобретения комплекта оборудования для </w:t>
      </w:r>
      <w:r w:rsidR="00DF26B0" w:rsidRPr="00E84FB6">
        <w:rPr>
          <w:sz w:val="28"/>
          <w:szCs w:val="28"/>
          <w:lang w:eastAsia="ru-RU"/>
        </w:rPr>
        <w:t>скейтпарка</w:t>
      </w:r>
      <w:r w:rsidRPr="00E84FB6">
        <w:rPr>
          <w:sz w:val="28"/>
          <w:szCs w:val="28"/>
          <w:lang w:eastAsia="ru-RU"/>
        </w:rPr>
        <w:t>, капитального ремонта спортивной площадки по месту жительства (замена баскетбольных щитов, футбольных ворот, ограждения и покрытия площадки).</w:t>
      </w:r>
    </w:p>
    <w:p w:rsidR="00E24118" w:rsidRPr="00E84FB6" w:rsidRDefault="00E24118" w:rsidP="00667AC4">
      <w:pPr>
        <w:tabs>
          <w:tab w:val="left" w:pos="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84FB6">
        <w:rPr>
          <w:sz w:val="28"/>
          <w:szCs w:val="28"/>
          <w:lang w:eastAsia="ru-RU"/>
        </w:rPr>
        <w:t>В 202</w:t>
      </w:r>
      <w:r w:rsidR="00E84FB6" w:rsidRPr="00E84FB6">
        <w:rPr>
          <w:sz w:val="28"/>
          <w:szCs w:val="28"/>
          <w:lang w:eastAsia="ru-RU"/>
        </w:rPr>
        <w:t>5</w:t>
      </w:r>
      <w:r w:rsidRPr="00E84FB6">
        <w:rPr>
          <w:sz w:val="28"/>
          <w:szCs w:val="28"/>
          <w:lang w:eastAsia="ru-RU"/>
        </w:rPr>
        <w:t>-202</w:t>
      </w:r>
      <w:r w:rsidR="00E84FB6" w:rsidRPr="00E84FB6">
        <w:rPr>
          <w:sz w:val="28"/>
          <w:szCs w:val="28"/>
          <w:lang w:eastAsia="ru-RU"/>
        </w:rPr>
        <w:t>7</w:t>
      </w:r>
      <w:r w:rsidRPr="00E84FB6">
        <w:rPr>
          <w:sz w:val="28"/>
          <w:szCs w:val="28"/>
          <w:lang w:eastAsia="ru-RU"/>
        </w:rPr>
        <w:t xml:space="preserve"> годах</w:t>
      </w:r>
      <w:r w:rsidR="00427664" w:rsidRPr="00E84FB6">
        <w:rPr>
          <w:sz w:val="28"/>
          <w:szCs w:val="28"/>
          <w:lang w:eastAsia="ru-RU"/>
        </w:rPr>
        <w:t xml:space="preserve"> прогнозируется</w:t>
      </w:r>
      <w:r w:rsidRPr="00E84FB6">
        <w:rPr>
          <w:sz w:val="28"/>
          <w:szCs w:val="28"/>
          <w:lang w:eastAsia="ru-RU"/>
        </w:rPr>
        <w:t xml:space="preserve"> </w:t>
      </w:r>
      <w:r w:rsidR="00E84FB6" w:rsidRPr="00E84FB6">
        <w:rPr>
          <w:sz w:val="28"/>
          <w:szCs w:val="28"/>
          <w:lang w:eastAsia="ru-RU"/>
        </w:rPr>
        <w:t>значение</w:t>
      </w:r>
      <w:r w:rsidRPr="00E84FB6">
        <w:rPr>
          <w:sz w:val="28"/>
          <w:szCs w:val="28"/>
          <w:lang w:eastAsia="ru-RU"/>
        </w:rPr>
        <w:t xml:space="preserve"> </w:t>
      </w:r>
      <w:r w:rsidR="00427664" w:rsidRPr="00E84FB6">
        <w:rPr>
          <w:sz w:val="28"/>
          <w:szCs w:val="28"/>
          <w:lang w:eastAsia="ru-RU"/>
        </w:rPr>
        <w:t>показателя</w:t>
      </w:r>
      <w:r w:rsidR="00E84FB6" w:rsidRPr="00E84FB6">
        <w:rPr>
          <w:sz w:val="28"/>
          <w:szCs w:val="28"/>
          <w:lang w:eastAsia="ru-RU"/>
        </w:rPr>
        <w:t xml:space="preserve"> составит</w:t>
      </w:r>
      <w:r w:rsidRPr="00E84FB6">
        <w:rPr>
          <w:sz w:val="28"/>
          <w:szCs w:val="28"/>
          <w:lang w:eastAsia="ru-RU"/>
        </w:rPr>
        <w:t xml:space="preserve"> </w:t>
      </w:r>
      <w:r w:rsidR="00E84FB6" w:rsidRPr="00E84FB6">
        <w:rPr>
          <w:sz w:val="28"/>
          <w:szCs w:val="28"/>
          <w:lang w:eastAsia="ru-RU"/>
        </w:rPr>
        <w:t>58,8</w:t>
      </w:r>
      <w:r w:rsidRPr="00E84FB6">
        <w:rPr>
          <w:sz w:val="28"/>
          <w:szCs w:val="28"/>
          <w:lang w:eastAsia="ru-RU"/>
        </w:rPr>
        <w:t xml:space="preserve">% соответственно, за счет предоставления платных услуг по плаванию, тренажерных и спортивных залов, спортивной базы МАУ г. Азова «СК им. Э.П. Лакомова» для занятий по видам спорта, с введением в эксплуатацию после реконструкции площадок в жилых микрорайонах города.  </w:t>
      </w:r>
    </w:p>
    <w:p w:rsidR="00AA40BF" w:rsidRPr="007F73EE" w:rsidRDefault="00AA40BF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AA40BF" w:rsidRPr="00956844" w:rsidRDefault="00AA40BF" w:rsidP="00667AC4">
      <w:pPr>
        <w:ind w:firstLine="709"/>
        <w:jc w:val="both"/>
        <w:rPr>
          <w:b/>
          <w:sz w:val="28"/>
          <w:szCs w:val="28"/>
        </w:rPr>
      </w:pPr>
      <w:r w:rsidRPr="00956844">
        <w:rPr>
          <w:b/>
          <w:sz w:val="28"/>
          <w:szCs w:val="28"/>
        </w:rPr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 w:rsidR="00427664" w:rsidRPr="00956844" w:rsidRDefault="00427664" w:rsidP="00667AC4">
      <w:pPr>
        <w:tabs>
          <w:tab w:val="left" w:pos="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56844">
        <w:rPr>
          <w:sz w:val="28"/>
          <w:szCs w:val="28"/>
          <w:lang w:eastAsia="ru-RU"/>
        </w:rPr>
        <w:lastRenderedPageBreak/>
        <w:t>В 202</w:t>
      </w:r>
      <w:r w:rsidR="00956844" w:rsidRPr="00956844">
        <w:rPr>
          <w:sz w:val="28"/>
          <w:szCs w:val="28"/>
          <w:lang w:eastAsia="ru-RU"/>
        </w:rPr>
        <w:t>4</w:t>
      </w:r>
      <w:r w:rsidRPr="00956844">
        <w:rPr>
          <w:sz w:val="28"/>
          <w:szCs w:val="28"/>
          <w:lang w:eastAsia="ru-RU"/>
        </w:rPr>
        <w:t xml:space="preserve"> году показатель составил </w:t>
      </w:r>
      <w:r w:rsidR="00956844" w:rsidRPr="00956844">
        <w:rPr>
          <w:sz w:val="28"/>
          <w:szCs w:val="28"/>
          <w:lang w:eastAsia="ru-RU"/>
        </w:rPr>
        <w:t>93,9</w:t>
      </w:r>
      <w:r w:rsidRPr="00956844">
        <w:rPr>
          <w:sz w:val="28"/>
          <w:szCs w:val="28"/>
          <w:lang w:eastAsia="ru-RU"/>
        </w:rPr>
        <w:t xml:space="preserve">%. Обучающиеся занимаются физической культурой и спортом в неурочное время и в секциях образовательных учреждений. </w:t>
      </w:r>
    </w:p>
    <w:p w:rsidR="00837F8C" w:rsidRPr="00DE594C" w:rsidRDefault="00427664" w:rsidP="00667AC4">
      <w:pPr>
        <w:tabs>
          <w:tab w:val="left" w:pos="900"/>
        </w:tabs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037B2A">
        <w:rPr>
          <w:sz w:val="28"/>
          <w:szCs w:val="28"/>
          <w:lang w:eastAsia="ru-RU"/>
        </w:rPr>
        <w:t>В 202</w:t>
      </w:r>
      <w:r w:rsidR="00956844" w:rsidRPr="00037B2A">
        <w:rPr>
          <w:sz w:val="28"/>
          <w:szCs w:val="28"/>
          <w:lang w:eastAsia="ru-RU"/>
        </w:rPr>
        <w:t>5</w:t>
      </w:r>
      <w:r w:rsidRPr="00037B2A">
        <w:rPr>
          <w:sz w:val="28"/>
          <w:szCs w:val="28"/>
          <w:lang w:eastAsia="ru-RU"/>
        </w:rPr>
        <w:t xml:space="preserve"> - 202</w:t>
      </w:r>
      <w:r w:rsidR="00956844" w:rsidRPr="00037B2A">
        <w:rPr>
          <w:sz w:val="28"/>
          <w:szCs w:val="28"/>
          <w:lang w:eastAsia="ru-RU"/>
        </w:rPr>
        <w:t>7</w:t>
      </w:r>
      <w:r w:rsidRPr="00037B2A">
        <w:rPr>
          <w:sz w:val="28"/>
          <w:szCs w:val="28"/>
          <w:lang w:eastAsia="ru-RU"/>
        </w:rPr>
        <w:t xml:space="preserve"> годах планируется </w:t>
      </w:r>
      <w:r w:rsidR="009C1CCE" w:rsidRPr="00037B2A">
        <w:rPr>
          <w:sz w:val="28"/>
          <w:szCs w:val="28"/>
          <w:lang w:eastAsia="ru-RU"/>
        </w:rPr>
        <w:t>сохранение значения на уровне 93,9</w:t>
      </w:r>
      <w:r w:rsidRPr="00037B2A">
        <w:rPr>
          <w:sz w:val="28"/>
          <w:szCs w:val="28"/>
          <w:lang w:eastAsia="ru-RU"/>
        </w:rPr>
        <w:t>%</w:t>
      </w:r>
      <w:r w:rsidR="00837F8C" w:rsidRPr="00037B2A">
        <w:rPr>
          <w:sz w:val="28"/>
          <w:szCs w:val="28"/>
          <w:lang w:eastAsia="ru-RU"/>
        </w:rPr>
        <w:t>,</w:t>
      </w:r>
      <w:r w:rsidRPr="00037B2A">
        <w:rPr>
          <w:sz w:val="28"/>
          <w:szCs w:val="28"/>
          <w:lang w:eastAsia="ru-RU"/>
        </w:rPr>
        <w:t xml:space="preserve"> за счет продолжения проведения занятий физической культурой и спортом во внеурочное время и в секциях образовательных учреждений, сохранения количества городских спортивных мероприятий, проводимых для данной категории граждан, предоставления спортивной базы МАУ г. Азова «СК им. Э.П. Лакомова». </w:t>
      </w:r>
    </w:p>
    <w:p w:rsidR="00837F8C" w:rsidRPr="007F73EE" w:rsidRDefault="00837F8C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AA40BF" w:rsidRPr="00DE594C" w:rsidRDefault="00AA40BF" w:rsidP="00667AC4">
      <w:pPr>
        <w:ind w:firstLine="709"/>
        <w:jc w:val="center"/>
        <w:rPr>
          <w:b/>
          <w:sz w:val="28"/>
          <w:szCs w:val="28"/>
        </w:rPr>
      </w:pPr>
      <w:r w:rsidRPr="00DE594C">
        <w:rPr>
          <w:b/>
          <w:sz w:val="28"/>
          <w:szCs w:val="28"/>
          <w:lang w:val="en-US"/>
        </w:rPr>
        <w:t>VI</w:t>
      </w:r>
      <w:r w:rsidRPr="00DE594C">
        <w:rPr>
          <w:b/>
          <w:sz w:val="28"/>
          <w:szCs w:val="28"/>
        </w:rPr>
        <w:t>. Жилищное строительство и обеспечение граждан жильем</w:t>
      </w:r>
    </w:p>
    <w:p w:rsidR="00EA59C8" w:rsidRPr="00DE594C" w:rsidRDefault="00EA59C8" w:rsidP="00667AC4">
      <w:pPr>
        <w:ind w:firstLine="709"/>
        <w:jc w:val="center"/>
        <w:rPr>
          <w:b/>
          <w:sz w:val="28"/>
          <w:szCs w:val="28"/>
        </w:rPr>
      </w:pPr>
    </w:p>
    <w:p w:rsidR="003C6415" w:rsidRPr="00DE594C" w:rsidRDefault="00EA59C8" w:rsidP="00667AC4">
      <w:pPr>
        <w:ind w:firstLine="709"/>
        <w:jc w:val="both"/>
        <w:rPr>
          <w:b/>
          <w:sz w:val="28"/>
          <w:szCs w:val="28"/>
        </w:rPr>
      </w:pPr>
      <w:r w:rsidRPr="00DE594C">
        <w:rPr>
          <w:b/>
          <w:sz w:val="28"/>
          <w:szCs w:val="28"/>
        </w:rPr>
        <w:t>Показатель 24</w:t>
      </w:r>
      <w:r w:rsidR="003C6415" w:rsidRPr="00DE594C">
        <w:rPr>
          <w:b/>
          <w:sz w:val="28"/>
          <w:szCs w:val="28"/>
        </w:rPr>
        <w:t>.</w:t>
      </w:r>
      <w:r w:rsidR="003C6415" w:rsidRPr="00DE594C">
        <w:rPr>
          <w:sz w:val="28"/>
          <w:szCs w:val="28"/>
        </w:rPr>
        <w:t xml:space="preserve">  </w:t>
      </w:r>
      <w:r w:rsidR="003C6415" w:rsidRPr="00DE594C">
        <w:rPr>
          <w:b/>
          <w:sz w:val="28"/>
          <w:szCs w:val="28"/>
        </w:rPr>
        <w:t>Общая площадь жилых помещений, приходящаяся в среднем на одного жителя, всего</w:t>
      </w:r>
      <w:r w:rsidR="00374EFF">
        <w:rPr>
          <w:b/>
          <w:sz w:val="28"/>
          <w:szCs w:val="28"/>
        </w:rPr>
        <w:t>:</w:t>
      </w:r>
    </w:p>
    <w:p w:rsidR="00DE594C" w:rsidRPr="00DE594C" w:rsidRDefault="00DE594C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E594C">
        <w:rPr>
          <w:color w:val="000000"/>
          <w:sz w:val="28"/>
          <w:szCs w:val="22"/>
          <w:lang w:eastAsia="ru-RU"/>
        </w:rPr>
        <w:t xml:space="preserve">Показатель общей площади жилых помещений, приходящейся в среднем на одного жителя составил в 2022 году - 27,50 кв.м, в 2023 году – 27,98 кв.м, в 2024 году – 28,71 кв.м. </w:t>
      </w:r>
    </w:p>
    <w:p w:rsidR="00DE594C" w:rsidRPr="00DE594C" w:rsidRDefault="00DE594C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E594C">
        <w:rPr>
          <w:color w:val="000000"/>
          <w:sz w:val="28"/>
          <w:szCs w:val="22"/>
          <w:lang w:eastAsia="ru-RU"/>
        </w:rPr>
        <w:t>Показатель объема ввода жилья в 2022 году - 24,217 тыс.кв.м, в 2023 году - 32,510 тыс.кв.м, в 2024 году ввод жилья составил 47,112 тыс.кв.м.</w:t>
      </w:r>
    </w:p>
    <w:p w:rsidR="00DE594C" w:rsidRPr="00DE594C" w:rsidRDefault="00DE594C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E594C">
        <w:rPr>
          <w:color w:val="000000"/>
          <w:sz w:val="28"/>
          <w:szCs w:val="22"/>
          <w:lang w:eastAsia="ru-RU"/>
        </w:rPr>
        <w:t>В 2024 году в связи с дополнительным соглашением к Соглашению о реализации программы по вводу жилья в эксплуатацию на 2022-2030 гг. на территории муниципального образования «Город Азов» (далее Соглашение), подписанного с Министерством строительства, архитектуры и территориального развития Ростовской области от 11.02.2022 ввод жилья запланирован – 28,34 тыс.кв.м. Фактически за 2024 год введено жилья 47,112 тыс.кв.м.</w:t>
      </w:r>
    </w:p>
    <w:p w:rsidR="00DE594C" w:rsidRDefault="00DE594C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highlight w:val="yellow"/>
          <w:lang w:eastAsia="ru-RU"/>
        </w:rPr>
      </w:pPr>
      <w:r w:rsidRPr="00DE594C">
        <w:rPr>
          <w:color w:val="000000"/>
          <w:sz w:val="28"/>
          <w:szCs w:val="22"/>
          <w:lang w:eastAsia="ru-RU"/>
        </w:rPr>
        <w:t>В соответствии с Соглашением на территории муниципального образования «Город Азов» показатели ввода жилья на 2025 год запланировано 50,157 тыс.кв.м, 2026 год - 52,163 тыс.кв.м, 2027 год - 54,250 тыс.кв.м.</w:t>
      </w:r>
    </w:p>
    <w:p w:rsidR="00374EFF" w:rsidRDefault="00374EFF" w:rsidP="00667AC4">
      <w:pPr>
        <w:ind w:firstLine="709"/>
        <w:jc w:val="both"/>
        <w:rPr>
          <w:color w:val="000000"/>
          <w:sz w:val="28"/>
          <w:szCs w:val="22"/>
          <w:highlight w:val="yellow"/>
          <w:lang w:eastAsia="ru-RU"/>
        </w:rPr>
      </w:pPr>
    </w:p>
    <w:p w:rsidR="003C6415" w:rsidRPr="00374EFF" w:rsidRDefault="008E120B" w:rsidP="00667AC4">
      <w:pPr>
        <w:ind w:firstLine="709"/>
        <w:jc w:val="both"/>
        <w:rPr>
          <w:sz w:val="28"/>
          <w:szCs w:val="28"/>
        </w:rPr>
      </w:pPr>
      <w:r w:rsidRPr="00374EFF">
        <w:rPr>
          <w:b/>
          <w:bCs/>
          <w:sz w:val="28"/>
          <w:szCs w:val="28"/>
        </w:rPr>
        <w:t>Общая площадь жилых помещений, приходящаяся в среднем на одного жителя, введенная в действие за год</w:t>
      </w:r>
      <w:r w:rsidRPr="00374EFF">
        <w:rPr>
          <w:sz w:val="28"/>
          <w:szCs w:val="28"/>
        </w:rPr>
        <w:t>:</w:t>
      </w:r>
    </w:p>
    <w:p w:rsidR="00101D6A" w:rsidRDefault="00374EFF" w:rsidP="00667AC4">
      <w:pPr>
        <w:suppressAutoHyphens w:val="0"/>
        <w:spacing w:after="108"/>
        <w:ind w:left="-15" w:firstLine="709"/>
        <w:jc w:val="both"/>
        <w:rPr>
          <w:color w:val="000000"/>
          <w:sz w:val="28"/>
          <w:szCs w:val="22"/>
          <w:highlight w:val="yellow"/>
          <w:lang w:eastAsia="ru-RU"/>
        </w:rPr>
      </w:pPr>
      <w:r w:rsidRPr="00374EFF">
        <w:rPr>
          <w:color w:val="000000"/>
          <w:sz w:val="28"/>
          <w:szCs w:val="22"/>
          <w:lang w:eastAsia="ru-RU"/>
        </w:rPr>
        <w:t>В 2022 году показатель составил – 0,31 кв.м, в 2023 году – 0,40 кв.м, в 2024 году – 0,59. На плановый период 2025-2027 г.г. запланирован рост показателя: в 2025 году – 0,63 кв.м, в 2026 год – 0,65 кв.м, в 2027 году – 0,68 кв.м.</w:t>
      </w:r>
    </w:p>
    <w:p w:rsidR="00374EFF" w:rsidRPr="00374EFF" w:rsidRDefault="00374EFF" w:rsidP="00667AC4">
      <w:pPr>
        <w:suppressAutoHyphens w:val="0"/>
        <w:spacing w:after="108"/>
        <w:ind w:left="-15" w:firstLine="709"/>
        <w:jc w:val="both"/>
        <w:rPr>
          <w:color w:val="000000"/>
          <w:sz w:val="28"/>
          <w:szCs w:val="22"/>
          <w:highlight w:val="yellow"/>
          <w:lang w:eastAsia="ru-RU"/>
        </w:rPr>
      </w:pPr>
    </w:p>
    <w:p w:rsidR="00882E46" w:rsidRDefault="00350621" w:rsidP="001A63E3">
      <w:pPr>
        <w:pStyle w:val="a6"/>
        <w:ind w:left="0" w:firstLine="694"/>
        <w:jc w:val="both"/>
        <w:rPr>
          <w:color w:val="000000"/>
          <w:sz w:val="28"/>
          <w:szCs w:val="22"/>
          <w:lang w:eastAsia="ru-RU"/>
        </w:rPr>
      </w:pPr>
      <w:r w:rsidRPr="00882E46">
        <w:rPr>
          <w:b/>
          <w:sz w:val="28"/>
          <w:szCs w:val="28"/>
          <w:lang w:eastAsia="ru-RU"/>
        </w:rPr>
        <w:t>Показатель</w:t>
      </w:r>
      <w:r w:rsidR="00EF13F7" w:rsidRPr="00882E46">
        <w:rPr>
          <w:b/>
          <w:sz w:val="28"/>
          <w:szCs w:val="28"/>
          <w:lang w:eastAsia="ru-RU"/>
        </w:rPr>
        <w:t xml:space="preserve"> 25. </w:t>
      </w:r>
      <w:r w:rsidR="00AA40BF" w:rsidRPr="00882E46">
        <w:rPr>
          <w:b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тыс. человек населения,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AA40BF" w:rsidRPr="00882E46">
        <w:rPr>
          <w:sz w:val="28"/>
          <w:szCs w:val="28"/>
          <w:lang w:eastAsia="ru-RU"/>
        </w:rPr>
        <w:t>.</w:t>
      </w:r>
      <w:r w:rsidR="00101D6A" w:rsidRPr="00882E46">
        <w:rPr>
          <w:color w:val="000000"/>
          <w:sz w:val="28"/>
          <w:szCs w:val="22"/>
          <w:lang w:eastAsia="ru-RU"/>
        </w:rPr>
        <w:t xml:space="preserve"> </w:t>
      </w:r>
    </w:p>
    <w:p w:rsidR="00882E46" w:rsidRDefault="00882E46" w:rsidP="00667AC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2022 года площадь земельных участков, предоставленных для строительства в расчете на 10 тыс. </w:t>
      </w:r>
      <w:r>
        <w:rPr>
          <w:sz w:val="28"/>
          <w:szCs w:val="28"/>
        </w:rPr>
        <w:t>населения составила</w:t>
      </w:r>
      <w:r>
        <w:rPr>
          <w:sz w:val="28"/>
          <w:szCs w:val="28"/>
        </w:rPr>
        <w:t xml:space="preserve"> - 0,05га, 2023 год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9,37га, 2024 год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0,57га.</w:t>
      </w:r>
    </w:p>
    <w:p w:rsidR="00882E46" w:rsidRDefault="00882E46" w:rsidP="00667AC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увеличения площади земельных участков, предоставленных для строительства, администрацией города Азова ведется постоянная работа по вовлечению в хозяйственный оборот максимального количества земельных участков. В 2025 году планируется показатель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1,0 </w:t>
      </w:r>
      <w:r w:rsidR="00DE0419">
        <w:rPr>
          <w:sz w:val="28"/>
          <w:szCs w:val="28"/>
        </w:rPr>
        <w:t>га, в</w:t>
      </w:r>
      <w:r>
        <w:rPr>
          <w:sz w:val="28"/>
          <w:szCs w:val="28"/>
        </w:rPr>
        <w:t xml:space="preserve"> 2026 году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1,0га, в 2027 году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1,0га.</w:t>
      </w:r>
    </w:p>
    <w:p w:rsidR="00882E46" w:rsidRDefault="00882E46" w:rsidP="00667AC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по земельным участкам, предоставленным для жилищного строительства, индивидуального строительства и комплексного освоения в целях жилищного </w:t>
      </w:r>
      <w:r w:rsidR="00DE0419">
        <w:rPr>
          <w:sz w:val="28"/>
          <w:szCs w:val="28"/>
        </w:rPr>
        <w:t>строительства составил</w:t>
      </w:r>
      <w:r>
        <w:rPr>
          <w:sz w:val="28"/>
          <w:szCs w:val="28"/>
        </w:rPr>
        <w:t>, в 2022 году – показатель составил</w:t>
      </w:r>
      <w:r w:rsidR="00DE041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0,05га, 2023</w:t>
      </w:r>
      <w:r w:rsidR="00DE041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0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0,02га, 2024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0,05га.   </w:t>
      </w:r>
    </w:p>
    <w:p w:rsidR="00882E46" w:rsidRDefault="00882E46" w:rsidP="00667AC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планируется </w:t>
      </w:r>
      <w:r w:rsidR="00DE04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2,0 га; в 2026 году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2,0 га, в 2027 году </w:t>
      </w:r>
      <w:r w:rsidR="00DE0419">
        <w:rPr>
          <w:sz w:val="28"/>
          <w:szCs w:val="28"/>
        </w:rPr>
        <w:t>-</w:t>
      </w:r>
      <w:r>
        <w:rPr>
          <w:sz w:val="28"/>
          <w:szCs w:val="28"/>
        </w:rPr>
        <w:t xml:space="preserve"> 2,0 га.</w:t>
      </w:r>
    </w:p>
    <w:p w:rsidR="003B3D36" w:rsidRPr="007F73EE" w:rsidRDefault="003B3D36" w:rsidP="00667AC4">
      <w:pPr>
        <w:suppressAutoHyphens w:val="0"/>
        <w:jc w:val="both"/>
        <w:rPr>
          <w:b/>
          <w:sz w:val="28"/>
          <w:szCs w:val="28"/>
          <w:highlight w:val="yellow"/>
          <w:lang w:eastAsia="ru-RU"/>
        </w:rPr>
      </w:pPr>
    </w:p>
    <w:p w:rsidR="003B3D36" w:rsidRPr="00DA7BE8" w:rsidRDefault="003B3D36" w:rsidP="00667AC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DA7BE8">
        <w:rPr>
          <w:b/>
          <w:sz w:val="28"/>
          <w:szCs w:val="28"/>
          <w:lang w:eastAsia="ru-RU"/>
        </w:rPr>
        <w:t>Показатель 26. Площадь земельных участков, предоставленных для строительства, в отношении которых, с даты принятия решения о предоставлении земельного участка или подписания протокола о результатах торгов (конкурсов, аукционов), не было получено разрешение на ввод в эксплуатацию:</w:t>
      </w:r>
    </w:p>
    <w:p w:rsidR="003B3D36" w:rsidRPr="00DA7BE8" w:rsidRDefault="003B3D36" w:rsidP="00667AC4">
      <w:pPr>
        <w:suppressAutoHyphens w:val="0"/>
        <w:ind w:firstLine="709"/>
        <w:jc w:val="both"/>
        <w:rPr>
          <w:b/>
          <w:color w:val="ED7D31"/>
          <w:sz w:val="28"/>
          <w:szCs w:val="28"/>
          <w:lang w:eastAsia="ru-RU"/>
        </w:rPr>
      </w:pPr>
      <w:r w:rsidRPr="00DA7BE8">
        <w:rPr>
          <w:b/>
          <w:sz w:val="28"/>
          <w:szCs w:val="28"/>
          <w:lang w:eastAsia="ru-RU"/>
        </w:rPr>
        <w:t>- объектов жилищного строительства – в течении 3 лет;</w:t>
      </w:r>
    </w:p>
    <w:p w:rsidR="003B3D36" w:rsidRPr="00DA7BE8" w:rsidRDefault="003B3D36" w:rsidP="00667AC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DA7BE8">
        <w:rPr>
          <w:b/>
          <w:sz w:val="28"/>
          <w:szCs w:val="28"/>
          <w:lang w:eastAsia="ru-RU"/>
        </w:rPr>
        <w:t>- иных объектов капитального строительства – в течении 5 лет.</w:t>
      </w:r>
    </w:p>
    <w:p w:rsidR="003B3D36" w:rsidRPr="00DA7BE8" w:rsidRDefault="003B3D36" w:rsidP="00667AC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DA7BE8" w:rsidRPr="00C9408C" w:rsidRDefault="003B3D36" w:rsidP="00667AC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DA7BE8">
        <w:rPr>
          <w:b/>
          <w:sz w:val="28"/>
          <w:szCs w:val="28"/>
          <w:lang w:eastAsia="ru-RU"/>
        </w:rPr>
        <w:t>Объекты жилищного строительства, на которые в течении 3 лет не получено разрешение на ввод в эксплуатацию:</w:t>
      </w:r>
    </w:p>
    <w:p w:rsidR="00DA7BE8" w:rsidRP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Показатель в 2022 году составил 11890 кв.м, в 2023 году, в связи с вводом в эксплуатацию жилого дома по пер. Ст. Разина, 15б в г. Азове, показатель составил 9128,0 кв.м, в 2024 году показатель остался неизменным - 9128,0 кв.м.</w:t>
      </w:r>
    </w:p>
    <w:p w:rsidR="00DA7BE8" w:rsidRP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С 2025 по 2027 годы показатель 9128,0 кв.м - не изменится до ввода в эксплуатацию жилого комплекса по б-ру Роз, 5 в г. Азове</w:t>
      </w:r>
      <w:r w:rsidR="00C9408C">
        <w:rPr>
          <w:color w:val="000000"/>
          <w:sz w:val="28"/>
          <w:szCs w:val="22"/>
          <w:lang w:eastAsia="ru-RU"/>
        </w:rPr>
        <w:t>, Застройщик ООО СЗ «ДС ГРУПП».</w:t>
      </w:r>
    </w:p>
    <w:p w:rsidR="00DA7BE8" w:rsidRPr="00C9408C" w:rsidRDefault="00C9408C" w:rsidP="00667AC4">
      <w:pPr>
        <w:suppressAutoHyphens w:val="0"/>
        <w:spacing w:after="3"/>
        <w:ind w:left="-15" w:firstLine="709"/>
        <w:jc w:val="both"/>
        <w:rPr>
          <w:b/>
          <w:bCs/>
          <w:color w:val="000000"/>
          <w:sz w:val="28"/>
          <w:szCs w:val="22"/>
          <w:lang w:eastAsia="ru-RU"/>
        </w:rPr>
      </w:pPr>
      <w:r w:rsidRPr="00C9408C">
        <w:rPr>
          <w:b/>
          <w:bCs/>
          <w:color w:val="000000"/>
          <w:sz w:val="28"/>
          <w:szCs w:val="22"/>
          <w:lang w:eastAsia="ru-RU"/>
        </w:rPr>
        <w:t>По иным объектам капитального строительства, не получившим разрешения на ввод в течение 5 лет, площадь земельных участков:</w:t>
      </w:r>
    </w:p>
    <w:p w:rsidR="00DA7BE8" w:rsidRP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В 2022, 2023 и 2024 годах показатель составил 67757,00 кв.м.</w:t>
      </w:r>
    </w:p>
    <w:p w:rsidR="00DA7BE8" w:rsidRP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В 2025 и 2027 годах показатель прогнозируется на том же уровне – 67757,00 кв.м, в связи с продолжением строительства объектов.</w:t>
      </w:r>
    </w:p>
    <w:p w:rsidR="00DA7BE8" w:rsidRP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В 2027 году положительная динамика возможна после завершения строительства объектов капитального строительства ООО «Азов-ТЭК» и ООО «НОТА».</w:t>
      </w:r>
    </w:p>
    <w:p w:rsidR="00DA7BE8" w:rsidRDefault="00DA7BE8" w:rsidP="00667AC4">
      <w:pPr>
        <w:suppressAutoHyphens w:val="0"/>
        <w:spacing w:after="3"/>
        <w:ind w:left="-15" w:firstLine="709"/>
        <w:jc w:val="both"/>
        <w:rPr>
          <w:color w:val="000000"/>
          <w:sz w:val="28"/>
          <w:szCs w:val="22"/>
          <w:highlight w:val="yellow"/>
          <w:lang w:eastAsia="ru-RU"/>
        </w:rPr>
      </w:pPr>
      <w:r w:rsidRPr="00DA7BE8">
        <w:rPr>
          <w:color w:val="000000"/>
          <w:sz w:val="28"/>
          <w:szCs w:val="22"/>
          <w:lang w:eastAsia="ru-RU"/>
        </w:rPr>
        <w:t>Отделом по строительству и архитектуре проводится мониторинг за ходом строительством объектов и недопущением долгостроев на территории муниципального образования «Город Азов».</w:t>
      </w:r>
    </w:p>
    <w:p w:rsidR="00C9408C" w:rsidRDefault="00C9408C" w:rsidP="00667AC4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AA40BF" w:rsidRPr="007F1E12" w:rsidRDefault="00AA40BF" w:rsidP="00667AC4">
      <w:pPr>
        <w:ind w:firstLine="709"/>
        <w:jc w:val="center"/>
        <w:rPr>
          <w:b/>
          <w:sz w:val="28"/>
          <w:szCs w:val="28"/>
        </w:rPr>
      </w:pPr>
      <w:r w:rsidRPr="007F1E12">
        <w:rPr>
          <w:b/>
          <w:sz w:val="28"/>
          <w:szCs w:val="28"/>
          <w:lang w:val="en-US"/>
        </w:rPr>
        <w:lastRenderedPageBreak/>
        <w:t>VII</w:t>
      </w:r>
      <w:r w:rsidRPr="007F1E12">
        <w:rPr>
          <w:b/>
          <w:sz w:val="28"/>
          <w:szCs w:val="28"/>
        </w:rPr>
        <w:t>. Жилищно-коммунальное хозяйство</w:t>
      </w:r>
    </w:p>
    <w:p w:rsidR="00AA40BF" w:rsidRPr="007F73EE" w:rsidRDefault="00AA40BF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4621E1" w:rsidRPr="007F1E12" w:rsidRDefault="00AA40BF" w:rsidP="00667AC4">
      <w:pPr>
        <w:ind w:firstLine="709"/>
        <w:jc w:val="both"/>
        <w:rPr>
          <w:sz w:val="28"/>
          <w:szCs w:val="28"/>
        </w:rPr>
      </w:pPr>
      <w:r w:rsidRPr="004621E1">
        <w:rPr>
          <w:b/>
          <w:sz w:val="28"/>
          <w:szCs w:val="28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4621E1">
        <w:rPr>
          <w:sz w:val="28"/>
          <w:szCs w:val="28"/>
        </w:rPr>
        <w:t>.</w:t>
      </w:r>
    </w:p>
    <w:p w:rsidR="004621E1" w:rsidRPr="004621E1" w:rsidRDefault="004621E1" w:rsidP="00667AC4">
      <w:pPr>
        <w:suppressAutoHyphens w:val="0"/>
        <w:spacing w:after="310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621E1">
        <w:rPr>
          <w:color w:val="000000"/>
          <w:sz w:val="28"/>
          <w:szCs w:val="22"/>
          <w:lang w:eastAsia="ru-RU"/>
        </w:rPr>
        <w:t>В 2024 году доля многоквартирных домов, в которых собственники помещений выбрали и реализуют один из способов управления, составила 97%, в связи с тем, что по итогу 2024 года в 26 МКД способ управления многоквартирным домом не определен собственникам помещений.</w:t>
      </w:r>
    </w:p>
    <w:p w:rsidR="004621E1" w:rsidRPr="004621E1" w:rsidRDefault="004621E1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621E1">
        <w:rPr>
          <w:color w:val="000000"/>
          <w:sz w:val="28"/>
          <w:szCs w:val="22"/>
          <w:lang w:eastAsia="ru-RU"/>
        </w:rPr>
        <w:t>В случае, если способ управления многоквартирным домом не определен собственникам помещений, орган местного самоуправления проводит открытые конкурсы по отбору управляющей организации.</w:t>
      </w:r>
    </w:p>
    <w:p w:rsidR="004621E1" w:rsidRPr="004621E1" w:rsidRDefault="004621E1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621E1">
        <w:rPr>
          <w:color w:val="000000"/>
          <w:sz w:val="28"/>
          <w:szCs w:val="22"/>
          <w:lang w:eastAsia="ru-RU"/>
        </w:rPr>
        <w:t xml:space="preserve"> В течение 2023-2024 годов на конкурсы по отбору управляющей организации для домов, способ управления которыми не выбран и/или выбранный способ управления не реализован, которые проводило МКУ г. Азова «Департамент ЖКХ» не было подано ни одной заявки.</w:t>
      </w:r>
    </w:p>
    <w:p w:rsidR="00AA40BF" w:rsidRDefault="004621E1" w:rsidP="00667AC4">
      <w:pPr>
        <w:ind w:firstLine="709"/>
        <w:jc w:val="both"/>
        <w:rPr>
          <w:sz w:val="28"/>
          <w:szCs w:val="28"/>
          <w:highlight w:val="yellow"/>
        </w:rPr>
      </w:pPr>
      <w:r w:rsidRPr="004621E1">
        <w:rPr>
          <w:color w:val="000000"/>
          <w:sz w:val="28"/>
          <w:szCs w:val="22"/>
          <w:lang w:eastAsia="ru-RU"/>
        </w:rPr>
        <w:t>Новые конкурсы по отбору управляющей организации будет объявлены в течение 2025 года.</w:t>
      </w:r>
      <w:r w:rsidRPr="004621E1">
        <w:rPr>
          <w:sz w:val="28"/>
          <w:szCs w:val="28"/>
        </w:rPr>
        <w:t xml:space="preserve"> </w:t>
      </w:r>
      <w:r w:rsidRPr="004621E1">
        <w:rPr>
          <w:sz w:val="28"/>
          <w:szCs w:val="28"/>
        </w:rPr>
        <w:t>В 202</w:t>
      </w:r>
      <w:r w:rsidRPr="004621E1">
        <w:rPr>
          <w:sz w:val="28"/>
          <w:szCs w:val="28"/>
        </w:rPr>
        <w:t>5</w:t>
      </w:r>
      <w:r w:rsidRPr="004621E1">
        <w:rPr>
          <w:sz w:val="28"/>
          <w:szCs w:val="28"/>
        </w:rPr>
        <w:t>-202</w:t>
      </w:r>
      <w:r w:rsidRPr="004621E1">
        <w:rPr>
          <w:sz w:val="28"/>
          <w:szCs w:val="28"/>
        </w:rPr>
        <w:t>7</w:t>
      </w:r>
      <w:r w:rsidRPr="004621E1">
        <w:rPr>
          <w:sz w:val="28"/>
          <w:szCs w:val="28"/>
        </w:rPr>
        <w:t xml:space="preserve"> г.г. планируемое значение показателя </w:t>
      </w:r>
      <w:r w:rsidRPr="004621E1">
        <w:rPr>
          <w:sz w:val="28"/>
          <w:szCs w:val="28"/>
        </w:rPr>
        <w:t>97</w:t>
      </w:r>
      <w:r w:rsidRPr="004621E1">
        <w:rPr>
          <w:sz w:val="28"/>
          <w:szCs w:val="28"/>
        </w:rPr>
        <w:t>%.</w:t>
      </w:r>
    </w:p>
    <w:p w:rsidR="004621E1" w:rsidRPr="007F73EE" w:rsidRDefault="004621E1" w:rsidP="00667AC4">
      <w:pPr>
        <w:ind w:firstLine="709"/>
        <w:jc w:val="both"/>
        <w:rPr>
          <w:sz w:val="28"/>
          <w:szCs w:val="28"/>
          <w:highlight w:val="yellow"/>
        </w:rPr>
      </w:pPr>
    </w:p>
    <w:p w:rsidR="00AA40BF" w:rsidRPr="001534A6" w:rsidRDefault="00AA40BF" w:rsidP="00667AC4">
      <w:pPr>
        <w:ind w:firstLine="709"/>
        <w:jc w:val="both"/>
        <w:rPr>
          <w:sz w:val="28"/>
          <w:szCs w:val="28"/>
        </w:rPr>
      </w:pPr>
      <w:r w:rsidRPr="001534A6">
        <w:rPr>
          <w:b/>
          <w:sz w:val="28"/>
          <w:szCs w:val="28"/>
        </w:rPr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</w:t>
      </w:r>
      <w:r w:rsidRPr="001534A6">
        <w:rPr>
          <w:sz w:val="28"/>
          <w:szCs w:val="28"/>
        </w:rPr>
        <w:t>).</w:t>
      </w:r>
    </w:p>
    <w:p w:rsidR="001534A6" w:rsidRPr="001534A6" w:rsidRDefault="001534A6" w:rsidP="00667AC4">
      <w:pPr>
        <w:suppressAutoHyphens w:val="0"/>
        <w:spacing w:after="3"/>
        <w:ind w:left="709"/>
        <w:jc w:val="both"/>
        <w:rPr>
          <w:color w:val="000000"/>
          <w:sz w:val="28"/>
          <w:szCs w:val="22"/>
          <w:lang w:eastAsia="ru-RU"/>
        </w:rPr>
      </w:pPr>
      <w:r w:rsidRPr="001534A6">
        <w:rPr>
          <w:color w:val="000000"/>
          <w:sz w:val="28"/>
          <w:szCs w:val="22"/>
          <w:lang w:eastAsia="ru-RU"/>
        </w:rPr>
        <w:t>Показатель за 2024 год составляет 66,6%.</w:t>
      </w:r>
    </w:p>
    <w:p w:rsidR="00AA40BF" w:rsidRPr="001534A6" w:rsidRDefault="001534A6" w:rsidP="00667AC4">
      <w:pPr>
        <w:suppressAutoHyphens w:val="0"/>
        <w:spacing w:after="310"/>
        <w:jc w:val="both"/>
        <w:rPr>
          <w:color w:val="000000"/>
          <w:sz w:val="28"/>
          <w:szCs w:val="22"/>
          <w:lang w:eastAsia="ru-RU"/>
        </w:rPr>
      </w:pPr>
      <w:r w:rsidRPr="001534A6">
        <w:rPr>
          <w:color w:val="000000"/>
          <w:sz w:val="28"/>
          <w:szCs w:val="22"/>
          <w:lang w:eastAsia="ru-RU"/>
        </w:rPr>
        <w:t xml:space="preserve">Планируется продолжить принимать меры по недопущению снижения показателя. </w:t>
      </w:r>
    </w:p>
    <w:p w:rsidR="00AA40BF" w:rsidRPr="001534A6" w:rsidRDefault="00AA40BF" w:rsidP="00667AC4">
      <w:pPr>
        <w:ind w:firstLine="709"/>
        <w:jc w:val="both"/>
        <w:rPr>
          <w:sz w:val="28"/>
          <w:szCs w:val="28"/>
        </w:rPr>
      </w:pPr>
      <w:r w:rsidRPr="001534A6">
        <w:rPr>
          <w:b/>
          <w:sz w:val="28"/>
          <w:szCs w:val="28"/>
        </w:rPr>
        <w:t>Показатель 29. Доля многоквартирных домов, расположенных на земельных участках, в отношении которых осуществлен государственный кадастровый</w:t>
      </w:r>
      <w:r w:rsidRPr="001534A6">
        <w:rPr>
          <w:sz w:val="28"/>
          <w:szCs w:val="28"/>
        </w:rPr>
        <w:t xml:space="preserve"> учет.</w:t>
      </w:r>
    </w:p>
    <w:p w:rsidR="001534A6" w:rsidRPr="001534A6" w:rsidRDefault="001534A6" w:rsidP="00667AC4">
      <w:pPr>
        <w:suppressAutoHyphens w:val="0"/>
        <w:spacing w:after="3"/>
        <w:ind w:left="709"/>
        <w:jc w:val="both"/>
        <w:rPr>
          <w:color w:val="000000"/>
          <w:sz w:val="28"/>
          <w:szCs w:val="22"/>
          <w:lang w:eastAsia="ru-RU"/>
        </w:rPr>
      </w:pPr>
      <w:r w:rsidRPr="001534A6">
        <w:rPr>
          <w:color w:val="000000"/>
          <w:sz w:val="28"/>
          <w:szCs w:val="22"/>
          <w:lang w:eastAsia="ru-RU"/>
        </w:rPr>
        <w:t>Показатель за 2024 год составляет 100%.</w:t>
      </w:r>
    </w:p>
    <w:p w:rsidR="00D94415" w:rsidRDefault="001534A6" w:rsidP="00667AC4">
      <w:pPr>
        <w:suppressAutoHyphens w:val="0"/>
        <w:spacing w:after="632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1534A6">
        <w:rPr>
          <w:color w:val="000000"/>
          <w:sz w:val="28"/>
          <w:szCs w:val="22"/>
          <w:lang w:eastAsia="ru-RU"/>
        </w:rPr>
        <w:t>Данный показатель планируется сохра</w:t>
      </w:r>
      <w:r>
        <w:rPr>
          <w:color w:val="000000"/>
          <w:sz w:val="28"/>
          <w:szCs w:val="22"/>
          <w:lang w:eastAsia="ru-RU"/>
        </w:rPr>
        <w:t xml:space="preserve">нить на достигнутом уровне на </w:t>
      </w:r>
      <w:r w:rsidR="00D94415">
        <w:rPr>
          <w:color w:val="000000"/>
          <w:sz w:val="28"/>
          <w:szCs w:val="22"/>
          <w:lang w:eastAsia="ru-RU"/>
        </w:rPr>
        <w:t xml:space="preserve">будущие периоды. </w:t>
      </w:r>
    </w:p>
    <w:p w:rsidR="00140829" w:rsidRDefault="00D94415" w:rsidP="00667AC4">
      <w:pPr>
        <w:ind w:firstLine="709"/>
        <w:jc w:val="both"/>
        <w:rPr>
          <w:sz w:val="28"/>
          <w:szCs w:val="28"/>
          <w:lang w:eastAsia="ru-RU"/>
        </w:rPr>
      </w:pPr>
      <w:r w:rsidRPr="00C34FD1">
        <w:rPr>
          <w:b/>
          <w:bCs/>
          <w:sz w:val="28"/>
          <w:szCs w:val="28"/>
        </w:rPr>
        <w:lastRenderedPageBreak/>
        <w:t>Показатель 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C34FD1">
        <w:rPr>
          <w:b/>
          <w:sz w:val="28"/>
          <w:szCs w:val="28"/>
        </w:rPr>
        <w:t>.</w:t>
      </w:r>
      <w:r w:rsidRPr="00D94415">
        <w:rPr>
          <w:sz w:val="28"/>
          <w:szCs w:val="28"/>
          <w:lang w:eastAsia="ru-RU"/>
        </w:rPr>
        <w:t xml:space="preserve"> </w:t>
      </w:r>
    </w:p>
    <w:p w:rsidR="00D94415" w:rsidRPr="00D94415" w:rsidRDefault="00D94415" w:rsidP="00667AC4">
      <w:pPr>
        <w:ind w:firstLine="709"/>
        <w:jc w:val="both"/>
        <w:rPr>
          <w:sz w:val="28"/>
          <w:szCs w:val="28"/>
          <w:lang w:eastAsia="ru-RU"/>
        </w:rPr>
      </w:pPr>
      <w:r w:rsidRPr="00D94415">
        <w:rPr>
          <w:sz w:val="28"/>
          <w:szCs w:val="28"/>
          <w:lang w:eastAsia="ru-RU"/>
        </w:rPr>
        <w:t>В 20</w:t>
      </w:r>
      <w:r w:rsidR="00140829">
        <w:rPr>
          <w:sz w:val="28"/>
          <w:szCs w:val="28"/>
          <w:lang w:eastAsia="ru-RU"/>
        </w:rPr>
        <w:t>22 году показатель составил 5,3</w:t>
      </w:r>
      <w:r w:rsidRPr="00D94415">
        <w:rPr>
          <w:sz w:val="28"/>
          <w:szCs w:val="28"/>
          <w:lang w:eastAsia="ru-RU"/>
        </w:rPr>
        <w:t xml:space="preserve">%, в 2023 году </w:t>
      </w:r>
      <w:r w:rsidR="00140829">
        <w:rPr>
          <w:sz w:val="28"/>
          <w:szCs w:val="28"/>
          <w:lang w:eastAsia="ru-RU"/>
        </w:rPr>
        <w:t>– 0</w:t>
      </w:r>
      <w:r w:rsidRPr="00D94415">
        <w:rPr>
          <w:sz w:val="28"/>
          <w:szCs w:val="28"/>
          <w:lang w:eastAsia="ru-RU"/>
        </w:rPr>
        <w:t>% (жилые помещения по договору социального найма гражданам, состоящим на учете в качестве нуждающихся в жилых помещениях в Администрации города, не предоставлялись, средства местного бюджета на их приобретение в муниципальную собственность не выделялись).</w:t>
      </w:r>
    </w:p>
    <w:p w:rsidR="00D94415" w:rsidRPr="00D94415" w:rsidRDefault="00D94415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4415">
        <w:rPr>
          <w:sz w:val="28"/>
          <w:szCs w:val="28"/>
          <w:lang w:eastAsia="ru-RU"/>
        </w:rPr>
        <w:t>В 20</w:t>
      </w:r>
      <w:r w:rsidR="00140829">
        <w:rPr>
          <w:sz w:val="28"/>
          <w:szCs w:val="28"/>
          <w:lang w:eastAsia="ru-RU"/>
        </w:rPr>
        <w:t>24 году показатель составил 2,9</w:t>
      </w:r>
      <w:r w:rsidRPr="00D94415">
        <w:rPr>
          <w:sz w:val="28"/>
          <w:szCs w:val="28"/>
          <w:lang w:eastAsia="ru-RU"/>
        </w:rPr>
        <w:t>% (за счет средств федерального, областного и местного бюджетов улучшили жилищные условия 2 многодетные молодые семьи и 22</w:t>
      </w:r>
      <w:r w:rsidRPr="00D94415">
        <w:rPr>
          <w:lang w:eastAsia="ru-RU"/>
        </w:rPr>
        <w:t xml:space="preserve"> </w:t>
      </w:r>
      <w:r w:rsidRPr="00D94415">
        <w:rPr>
          <w:sz w:val="28"/>
          <w:szCs w:val="28"/>
          <w:lang w:eastAsia="ru-RU"/>
        </w:rPr>
        <w:t xml:space="preserve">граждан из числа детей-сирот и детей, оставшихся без попечения родителей). </w:t>
      </w:r>
    </w:p>
    <w:p w:rsidR="00D94415" w:rsidRPr="00D94415" w:rsidRDefault="00D94415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4415">
        <w:rPr>
          <w:sz w:val="28"/>
          <w:szCs w:val="28"/>
          <w:lang w:eastAsia="ru-RU"/>
        </w:rPr>
        <w:t xml:space="preserve">Отрицательная динамика значений показателя за отчетный период обусловлена отсутствием средств местного бюджета на приобретение жилых помещений для граждан, </w:t>
      </w:r>
      <w:r w:rsidRPr="00D94415">
        <w:rPr>
          <w:bCs/>
          <w:sz w:val="28"/>
          <w:szCs w:val="28"/>
          <w:lang w:eastAsia="ru-RU"/>
        </w:rPr>
        <w:t>состоящих в Администрации города Азова на учете в качестве нуждающихся в жилых помещениях по договорам социального найма</w:t>
      </w:r>
      <w:r w:rsidRPr="00D94415">
        <w:rPr>
          <w:sz w:val="28"/>
          <w:szCs w:val="28"/>
          <w:lang w:eastAsia="ru-RU"/>
        </w:rPr>
        <w:t>.</w:t>
      </w:r>
    </w:p>
    <w:p w:rsidR="00D94415" w:rsidRPr="00D94415" w:rsidRDefault="00D94415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4415">
        <w:rPr>
          <w:sz w:val="28"/>
          <w:szCs w:val="28"/>
          <w:lang w:eastAsia="ru-RU"/>
        </w:rPr>
        <w:t xml:space="preserve">Планируемое значение показателей в 2025-2027 годах – 5% (в случае положительного решения о выделении средств местного бюджета на приобретение жильяв муниципальную собственность для предоставления гражданам, </w:t>
      </w:r>
      <w:r w:rsidRPr="00D94415">
        <w:rPr>
          <w:bCs/>
          <w:sz w:val="28"/>
          <w:szCs w:val="28"/>
          <w:lang w:eastAsia="ru-RU"/>
        </w:rPr>
        <w:t>состоящим на учете в качестве нуждающихся в жилых помещениях в Администрации города)</w:t>
      </w:r>
      <w:r w:rsidRPr="00D94415">
        <w:rPr>
          <w:sz w:val="28"/>
          <w:szCs w:val="28"/>
          <w:lang w:eastAsia="ru-RU"/>
        </w:rPr>
        <w:t>.</w:t>
      </w:r>
    </w:p>
    <w:p w:rsidR="00140829" w:rsidRDefault="00140829" w:rsidP="00667AC4">
      <w:pPr>
        <w:ind w:firstLine="709"/>
        <w:jc w:val="center"/>
        <w:rPr>
          <w:color w:val="000000"/>
          <w:sz w:val="28"/>
          <w:szCs w:val="22"/>
          <w:highlight w:val="yellow"/>
          <w:lang w:eastAsia="ru-RU"/>
        </w:rPr>
      </w:pPr>
    </w:p>
    <w:p w:rsidR="00AA40BF" w:rsidRPr="00304B92" w:rsidRDefault="00AA40BF" w:rsidP="00667AC4">
      <w:pPr>
        <w:ind w:firstLine="709"/>
        <w:jc w:val="center"/>
        <w:rPr>
          <w:b/>
          <w:sz w:val="28"/>
          <w:szCs w:val="28"/>
        </w:rPr>
      </w:pPr>
      <w:r w:rsidRPr="00304B92">
        <w:rPr>
          <w:b/>
          <w:sz w:val="28"/>
          <w:szCs w:val="28"/>
          <w:lang w:val="en-US"/>
        </w:rPr>
        <w:t>VIII</w:t>
      </w:r>
      <w:r w:rsidRPr="00304B92">
        <w:rPr>
          <w:b/>
          <w:sz w:val="28"/>
          <w:szCs w:val="28"/>
        </w:rPr>
        <w:t>. Организация муниципального управления</w:t>
      </w:r>
    </w:p>
    <w:p w:rsidR="00AA40BF" w:rsidRPr="00304B92" w:rsidRDefault="00AA40BF" w:rsidP="00667AC4">
      <w:pPr>
        <w:ind w:firstLine="709"/>
        <w:jc w:val="both"/>
        <w:rPr>
          <w:b/>
          <w:sz w:val="28"/>
          <w:szCs w:val="28"/>
        </w:rPr>
      </w:pPr>
    </w:p>
    <w:p w:rsidR="00304B92" w:rsidRPr="00304B92" w:rsidRDefault="00AA40BF" w:rsidP="00667AC4">
      <w:pPr>
        <w:ind w:firstLine="709"/>
        <w:jc w:val="both"/>
        <w:rPr>
          <w:b/>
          <w:sz w:val="28"/>
          <w:szCs w:val="28"/>
        </w:rPr>
      </w:pPr>
      <w:r w:rsidRPr="00304B92">
        <w:rPr>
          <w:b/>
          <w:sz w:val="28"/>
          <w:szCs w:val="28"/>
        </w:rPr>
        <w:t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304B92" w:rsidRPr="00382C25" w:rsidRDefault="00304B92" w:rsidP="00667AC4">
      <w:pPr>
        <w:ind w:firstLine="709"/>
        <w:jc w:val="both"/>
        <w:rPr>
          <w:sz w:val="28"/>
          <w:szCs w:val="28"/>
        </w:rPr>
      </w:pPr>
      <w:r w:rsidRPr="00382C25">
        <w:rPr>
          <w:sz w:val="28"/>
          <w:szCs w:val="28"/>
        </w:rPr>
        <w:t>В 2024 году данный показатель состави</w:t>
      </w:r>
      <w:r>
        <w:rPr>
          <w:sz w:val="28"/>
          <w:szCs w:val="28"/>
        </w:rPr>
        <w:t>л</w:t>
      </w:r>
      <w:r w:rsidRPr="00382C25">
        <w:rPr>
          <w:sz w:val="28"/>
          <w:szCs w:val="28"/>
        </w:rPr>
        <w:t xml:space="preserve"> </w:t>
      </w:r>
      <w:r>
        <w:rPr>
          <w:sz w:val="28"/>
          <w:szCs w:val="28"/>
        </w:rPr>
        <w:t>32,66</w:t>
      </w:r>
      <w:r w:rsidRPr="00382C25">
        <w:rPr>
          <w:sz w:val="28"/>
          <w:szCs w:val="28"/>
        </w:rPr>
        <w:t>%.</w:t>
      </w:r>
    </w:p>
    <w:p w:rsidR="00304B92" w:rsidRDefault="00304B92" w:rsidP="00667AC4">
      <w:pPr>
        <w:ind w:firstLine="709"/>
        <w:jc w:val="both"/>
        <w:rPr>
          <w:sz w:val="28"/>
          <w:szCs w:val="28"/>
        </w:rPr>
      </w:pPr>
      <w:r w:rsidRPr="009D0CB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D0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наблюдается</w:t>
      </w:r>
      <w:r w:rsidRPr="009D0CBA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</w:t>
      </w:r>
      <w:r w:rsidRPr="009D0CBA">
        <w:rPr>
          <w:sz w:val="28"/>
          <w:szCs w:val="28"/>
        </w:rPr>
        <w:t xml:space="preserve">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по сравнению с 202</w:t>
      </w:r>
      <w:r>
        <w:rPr>
          <w:sz w:val="28"/>
          <w:szCs w:val="28"/>
        </w:rPr>
        <w:t>3</w:t>
      </w:r>
      <w:r w:rsidRPr="009D0CBA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1,89</w:t>
      </w:r>
      <w:r w:rsidRPr="009D0CBA">
        <w:rPr>
          <w:sz w:val="28"/>
          <w:szCs w:val="28"/>
        </w:rPr>
        <w:t xml:space="preserve"> % в</w:t>
      </w:r>
      <w:r w:rsidRPr="009D0CBA">
        <w:rPr>
          <w:color w:val="FF0000"/>
          <w:sz w:val="28"/>
          <w:szCs w:val="28"/>
        </w:rPr>
        <w:t xml:space="preserve"> </w:t>
      </w:r>
      <w:r w:rsidRPr="009D0CBA">
        <w:rPr>
          <w:sz w:val="28"/>
          <w:szCs w:val="28"/>
        </w:rPr>
        <w:t xml:space="preserve">основном за счет </w:t>
      </w:r>
      <w:r>
        <w:rPr>
          <w:sz w:val="28"/>
          <w:szCs w:val="28"/>
        </w:rPr>
        <w:t>увеличения</w:t>
      </w:r>
      <w:r w:rsidRPr="009D0CBA">
        <w:rPr>
          <w:sz w:val="28"/>
          <w:szCs w:val="28"/>
        </w:rPr>
        <w:t xml:space="preserve"> безвозмездных поступлений (без учета субвенций) из областного бюджета, в том числе субсидии на </w:t>
      </w:r>
      <w:r>
        <w:rPr>
          <w:sz w:val="28"/>
          <w:szCs w:val="28"/>
        </w:rPr>
        <w:t>757 609,2 тыс. рублей.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2025 году данный показатель планируется 49,02%.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 xml:space="preserve">В 2025 году планируется увеличение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в основном за счет уменьшения безвозмездных поступлений (без учета субвенций) из областного бюджета (В соответствии с Решением Азовской городской Думы от 11.02.2025 № 39 «О внесении изменений в решение Азовской городской </w:t>
      </w:r>
      <w:r w:rsidRPr="007E144E">
        <w:rPr>
          <w:sz w:val="28"/>
          <w:szCs w:val="28"/>
        </w:rPr>
        <w:lastRenderedPageBreak/>
        <w:t xml:space="preserve">Думы «О бюджете города Азова на 2025 год и на плановый период 2026 и 2027 годов»»). 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2026 году данный показатель планируется 74,83%.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 xml:space="preserve">В 2026 году планируется увеличение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в основном за счет уменьшения безвозмездных поступлений (без учета субвенций) из областного бюджета (В соответствии с Решением Азовской городской Думы от 11.02.2025 № 39 «О внесении изменений в решение Азовской городской Думы «О бюджете города Азова на 2025 год и на плановый период 2026 и 2027 годов»»). 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2027 году данный показатель планируется 85,53%.</w:t>
      </w:r>
    </w:p>
    <w:p w:rsidR="00304B92" w:rsidRPr="007E144E" w:rsidRDefault="00304B92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 xml:space="preserve">В 2027 году планируется увеличение доли налоговых и неналоговых доходов бюджета города Азова в общем объеме собственных доходов бюджета муниципального образования (без учета субвенций) в основном за счет уменьшения безвозмездных поступлений (без учета субвенций) из областного бюджета (В соответствии с Решением Азовской городской Думы от 11.02.2025 № 39 «О внесении изменений в решение Азовской городской Думы «О бюджете города Азова на 2025 год и на плановый период 2026 и 2027 годов»»). </w:t>
      </w:r>
    </w:p>
    <w:p w:rsidR="00A30811" w:rsidRPr="007F73EE" w:rsidRDefault="00A30811" w:rsidP="00667AC4">
      <w:pPr>
        <w:ind w:firstLine="709"/>
        <w:jc w:val="both"/>
        <w:rPr>
          <w:b/>
          <w:sz w:val="28"/>
          <w:szCs w:val="28"/>
          <w:highlight w:val="yellow"/>
        </w:rPr>
      </w:pPr>
    </w:p>
    <w:p w:rsidR="00AA40BF" w:rsidRDefault="00AA40BF" w:rsidP="00667AC4">
      <w:pPr>
        <w:ind w:firstLine="709"/>
        <w:jc w:val="both"/>
        <w:rPr>
          <w:b/>
          <w:sz w:val="28"/>
          <w:szCs w:val="28"/>
        </w:rPr>
      </w:pPr>
      <w:r w:rsidRPr="002015A0">
        <w:rPr>
          <w:b/>
          <w:sz w:val="28"/>
          <w:szCs w:val="28"/>
        </w:rPr>
        <w:t>Показатель 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стоимости).</w:t>
      </w:r>
    </w:p>
    <w:p w:rsidR="002015A0" w:rsidRDefault="002015A0" w:rsidP="00667AC4">
      <w:pPr>
        <w:pStyle w:val="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В 2024 году доля основных фондов организаций муниципальной собственности, находящихся в стадии банкротства в основных фондах организаций муниципальной собственности составляла 0,01 %. </w:t>
      </w:r>
    </w:p>
    <w:p w:rsidR="002015A0" w:rsidRDefault="002015A0" w:rsidP="00667AC4">
      <w:pPr>
        <w:pStyle w:val="1"/>
        <w:jc w:val="both"/>
        <w:rPr>
          <w:b w:val="0"/>
        </w:rPr>
      </w:pPr>
      <w:r>
        <w:rPr>
          <w:b w:val="0"/>
        </w:rPr>
        <w:tab/>
        <w:t>В 2025 планируется — 0,01 %, в 2026, 2027 годах 0,00 % значения данного показателя.</w:t>
      </w:r>
    </w:p>
    <w:p w:rsidR="002015A0" w:rsidRPr="00604BE8" w:rsidRDefault="00604BE8" w:rsidP="00667AC4">
      <w:pPr>
        <w:suppressAutoHyphens w:val="0"/>
        <w:spacing w:after="264"/>
        <w:ind w:left="-15" w:firstLine="709"/>
        <w:jc w:val="both"/>
        <w:rPr>
          <w:color w:val="000000"/>
          <w:sz w:val="28"/>
          <w:szCs w:val="22"/>
          <w:lang w:eastAsia="ru-RU"/>
        </w:rPr>
      </w:pPr>
      <w:r w:rsidRPr="00604BE8">
        <w:rPr>
          <w:bCs/>
          <w:color w:val="000000"/>
          <w:spacing w:val="-6"/>
          <w:sz w:val="28"/>
          <w:szCs w:val="28"/>
        </w:rPr>
        <w:t>В настоящее время</w:t>
      </w:r>
      <w:r w:rsidRPr="00604BE8">
        <w:rPr>
          <w:color w:val="000000"/>
          <w:sz w:val="28"/>
          <w:szCs w:val="22"/>
          <w:lang w:eastAsia="ru-RU"/>
        </w:rPr>
        <w:t xml:space="preserve"> в отношении муниципального предприятия «Управляющая компания - Азак», ИНН 6140000890, в Арбитражном суде Ростовской области рассматривается </w:t>
      </w:r>
      <w:r w:rsidRPr="00604BE8">
        <w:rPr>
          <w:color w:val="000000"/>
          <w:sz w:val="28"/>
          <w:szCs w:val="22"/>
          <w:lang w:eastAsia="ru-RU"/>
        </w:rPr>
        <w:t xml:space="preserve">дело о банкротстве №А53-8048/24, </w:t>
      </w:r>
      <w:r w:rsidRPr="00604BE8">
        <w:rPr>
          <w:sz w:val="28"/>
          <w:szCs w:val="28"/>
        </w:rPr>
        <w:t>м</w:t>
      </w:r>
      <w:r w:rsidR="002015A0" w:rsidRPr="00604BE8">
        <w:rPr>
          <w:sz w:val="28"/>
          <w:szCs w:val="28"/>
        </w:rPr>
        <w:t xml:space="preserve">униципальное предприятие г.Азова «Специализированное автомобильное хозяйство-1», ИНН </w:t>
      </w:r>
      <w:r w:rsidR="002015A0" w:rsidRPr="00604BE8">
        <w:rPr>
          <w:sz w:val="28"/>
          <w:szCs w:val="28"/>
        </w:rPr>
        <w:t>6140024161, в</w:t>
      </w:r>
      <w:r w:rsidR="002015A0" w:rsidRPr="00604BE8">
        <w:rPr>
          <w:bCs/>
          <w:color w:val="000000"/>
          <w:sz w:val="28"/>
          <w:szCs w:val="28"/>
        </w:rPr>
        <w:t xml:space="preserve"> Арбитражном суде Ростовской области рассматривается дело о банкротстве № </w:t>
      </w:r>
      <w:r w:rsidR="002015A0" w:rsidRPr="00604BE8">
        <w:rPr>
          <w:sz w:val="28"/>
          <w:szCs w:val="28"/>
        </w:rPr>
        <w:t>А53-37102/2024.</w:t>
      </w:r>
    </w:p>
    <w:p w:rsidR="00FB663D" w:rsidRPr="00FC1500" w:rsidRDefault="00AA40BF" w:rsidP="00667AC4">
      <w:pPr>
        <w:ind w:firstLine="709"/>
        <w:jc w:val="both"/>
        <w:rPr>
          <w:b/>
          <w:sz w:val="28"/>
          <w:szCs w:val="28"/>
        </w:rPr>
      </w:pPr>
      <w:r w:rsidRPr="00FC1500">
        <w:rPr>
          <w:b/>
          <w:sz w:val="28"/>
          <w:szCs w:val="28"/>
        </w:rPr>
        <w:t>Показатель 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  <w:r w:rsidR="0014249C">
        <w:rPr>
          <w:b/>
          <w:sz w:val="28"/>
          <w:szCs w:val="28"/>
        </w:rPr>
        <w:t>.</w:t>
      </w:r>
    </w:p>
    <w:p w:rsidR="00FC1500" w:rsidRPr="00FC1500" w:rsidRDefault="00FC150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На 01.01.2023 объем незавершенного в установленные сроки строительства составил 17 390,9 тыс. руб. Объем незавершенного в установленные сроки строительства, осуществляемого за счет средств бюджета городского округа составил на 01.01.2024 -  18 639,1 тыс. руб. Объем </w:t>
      </w:r>
      <w:r w:rsidRPr="00FC1500">
        <w:rPr>
          <w:color w:val="000000"/>
          <w:sz w:val="28"/>
          <w:szCs w:val="22"/>
          <w:lang w:eastAsia="ru-RU"/>
        </w:rPr>
        <w:lastRenderedPageBreak/>
        <w:t>незавершенного в установленные сроки строительства на 01.01.2025 – 18 710,1 тыс. руб.</w:t>
      </w:r>
    </w:p>
    <w:p w:rsidR="00FC1500" w:rsidRPr="00FC1500" w:rsidRDefault="00FC150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Увеличение показателя по объемам незавершенного строительства связано с разработкой ПСД и ПИР по следующим объектам, затраты по которым числятся в учете Управления ЖКХ г. Азова, в том числе: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6 750 000,00 руб., в том числе: за счет средств областного бюджета –      5 089 430,00 руб, за счет бюджета города – 1 660 570,00 руб. - расходы на изготовление проектно-сметной документации на реконструкцию котельной № 34 и тепловых сетей от нее для ликвидации 4-х подвальных котельных по ул. Ленина, 83 в г. Азове Ростовской области. Затраты подлежат списанию, т.к. срок действия проектной документации истек (более 5 лет с даты утверждения проектной документации) согласно указаниям министерства ЖКХ РО от </w:t>
      </w:r>
    </w:p>
    <w:p w:rsidR="00FC1500" w:rsidRPr="00FC1500" w:rsidRDefault="00FC1500" w:rsidP="00667AC4">
      <w:pPr>
        <w:suppressAutoHyphens w:val="0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01.02.2021 № 16-01/565;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7 980 000,00 руб., в том числе: за счет средств областного бюджета –           6 201 440,00 руб, за счет бюджета города – 1 778 560,00 руб. - расходы на проектно-изыскательские работы и проектно-сметную документацию по объекту: «Строительство подводящих сетей водоснабжения и водоотведения к микрорайону для многодетных семей в юго-западной части г. Азова Ростовской области». Положительное заключение ГАУ РО «Государственной экспертизы проектной документации и результатов инженерных изысканий» от 02.06.2022 № 61-1-1-3-035390-2022. </w:t>
      </w:r>
    </w:p>
    <w:p w:rsidR="00FC1500" w:rsidRPr="00FC1500" w:rsidRDefault="00FC150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В бюджете на 2025 год и на плановый период 2026 года Управлению ЖКХ предусмотрены расходы за счет средств областного бюджета и бюджета города Азова на строительство подводящих сетей водоснабжения и водоотведения к микрорайону для многодетных семей в юго-западной части г. Азова Ростовской области. 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30 000,00 руб. (средства бюджета города) – сметные расчеты на проектные и изыскательские работы по объекту: «Строительство подводящих сетей водоснабжения к микрорайону для многодетных семей в юго-западной части г. Азова Ростовской области». Положительное заключение о достоверности определения стоимости проектных и изыскательских работ от 28.05.2020 № 141-152/2020. Расходы, произведенные Администрацией города Азова, переданы Управлению ЖКХ г. Азова согласно акту приема-передачи объектов нефинансовых активов от 25.11.2022 № 00000001. Затраты подлежат списанию, т.к. вложения произведены в предпроектные, проектные и (или) изыскательские работы, по результатам которых проектная документация не утверждена и в дальнейшем разработка и утверждение ее не планируется;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30 000,00 руб. (средства бюджета города) - сметные расчеты на проектные и изыскательские работы по объекту: «Строительство подводящих сетей водоотведения к микрорайону для многодетных семей в юго-западной части г. Азова Ростовской области». Положительное заключение о достоверности определения стоимости проектных и изыскательских работ от 28.05.2020 № 139-150/2020. Расходы, произведенные Администрацией города Азова, переданы Управлению ЖКХ г. Азова согласно акту приема-передачи объектов нефинансовых активов от 25.11.2022 № 00000001. Затраты подлежат </w:t>
      </w:r>
      <w:r w:rsidRPr="00FC1500">
        <w:rPr>
          <w:color w:val="000000"/>
          <w:sz w:val="28"/>
          <w:szCs w:val="22"/>
          <w:lang w:eastAsia="ru-RU"/>
        </w:rPr>
        <w:lastRenderedPageBreak/>
        <w:t>списанию, т.к. вложения произведены в предпроектные, проектные и (или) изыскательские работы, по результатам которых проектная документация не утверждена и в дальнейшем разработка и утверждение ее не планируется;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40 000,00 руб. (средства бюджета города) – расчет потребности в тепле и газообразном топливе 28/20-РТ по объекту «Строительство системы газоснабжения микрорайона для многодетных семей в юго-западной части г. Азова Ростовской области». Положительное заключение о достоверности определения стоимости проектных и изыскательских работ от 28.05.2020 № 141-152/2020. Расходы, произведенные Администрацией города Азова, переданы Управлению ЖКХ г. Азова согласно акту приема-передачи объектов нефинансовых активов от 25.11.2022 № 00000001. Ведется подготовка технической документации на обеспечение инженерной инфраструктурой (газификацией) микрорайона для многодетных семей в юго-западной части г. Азова Ростовской области;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30 000,00 руб. (средства бюджета города) - сметные расчеты на проектные и изыскательские работы по объекту: «Строительство подъездной автомобильной дороги к микрорайону для многодетных семей в юго-западной части г. Азова Ростовской области». Положительное заключение о достоверности определения стоимости проектных и изыскательских работ от 28.05.2020 № 140-151/2020. Расходы, произведенные Администрацией города Азова, переданы Управлению ЖКХ г. Азова согласно акту приема-передачи объектов нефинансовых активов от 25.11.2022 № 00000001. Затраты подлежат списанию, т.к. вложения произведены в предпроектные, проектные и (или) изыскательские работы, по результатам которых проектная документация не утверждена и в дальнейшем разработка и утверждение ее не планируется;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13 311 310,60 руб. в том числе: за счет средств областного бюджета – 10 036 728,19 руб, за счет бюджета города – 3 274 582,41 руб.   строительство объездной автодороги в Северо-Западной промзоне г. Азова протяженностью 0,638 м. Ввести объект в эксплуатацию не представляется возможным, т.к. строительно-монтажные работы выполнялись с 2005г. по 2016г., отсутствует исполнительная документация, подтверждающая выполнение работ по строительству автодороги в период с 2005г. по 2009г., делает невозможным выделение участков объекта строительства и поэтапный ввод объекта в эксплуатацию в рамках существующей проектно-сметной документации так же, как и всего объекта полностью;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1 587 910,11 руб. (средства бюджета города) - расходы на разработку проектных и изыскательских работ и проектной документации по объекту: «Строительство воздушной линии сетей наружного освещения со строительством трансформаторной подстанции по ул. Дружбы в городе Азове Ростовской области». Положительное заключение ГАУ РО «Государственной экспертизы проектной документации и результатов инженерных изысканий» отсутствует. Затраты подлежат списанию в связи с принятым решением о выделении бюджетных средств на 2022-2023 годы из областного бюджета и бюджета города на проведение капитального ремонта автомобильной дороги, </w:t>
      </w:r>
      <w:r w:rsidRPr="00FC1500">
        <w:rPr>
          <w:color w:val="000000"/>
          <w:sz w:val="28"/>
          <w:szCs w:val="22"/>
          <w:lang w:eastAsia="ru-RU"/>
        </w:rPr>
        <w:lastRenderedPageBreak/>
        <w:t>включая устройство недостающего освещения по ул. Дружбы в г. Азове Ростовской области;</w:t>
      </w:r>
    </w:p>
    <w:p w:rsidR="00FC1500" w:rsidRPr="00FC1500" w:rsidRDefault="00FC1500" w:rsidP="00667AC4">
      <w:pPr>
        <w:numPr>
          <w:ilvl w:val="0"/>
          <w:numId w:val="9"/>
        </w:numPr>
        <w:suppressAutoHyphens w:val="0"/>
        <w:spacing w:after="3"/>
        <w:ind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 xml:space="preserve">3 078 000,00 руб. (средства бюджета города) - расходы на разработку проектных и изыскательских работ и проектной документации по объекту «Строительство подъездной автомобильной дороги к микрорайону для многодетных семей в юго-западной части г. Азова Ростовской области». </w:t>
      </w:r>
    </w:p>
    <w:p w:rsidR="00FC1500" w:rsidRPr="00FC1500" w:rsidRDefault="00FC1500" w:rsidP="00667AC4">
      <w:pPr>
        <w:suppressAutoHyphens w:val="0"/>
        <w:spacing w:after="3"/>
        <w:ind w:left="-15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Планируется поэтапная реализация объектов инженерной инфраструктуры к микрорайону для многодетных семей в юго-западной части г. Азова Ростовской области: строительство подъездной автомобильной дороги будет выполнено после строительства подводящих и разводящих сетей водоснабжения и водоотведения к микрорайону для многодетных семей в югозападной части г. Азова Ростовской области;</w:t>
      </w:r>
    </w:p>
    <w:p w:rsidR="00FC1500" w:rsidRPr="00FC1500" w:rsidRDefault="00FC1500" w:rsidP="00667AC4">
      <w:pPr>
        <w:suppressAutoHyphens w:val="0"/>
        <w:spacing w:after="3"/>
        <w:ind w:left="-15" w:firstLine="540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102 235 558,00 руб. в том числе: за счет средств областного бюджета –    95 185 092,00 руб., за счет бюджета города – 7 050 466,00 руб. - расходы по разработке сметного расчета на проектные и изыскательские работы с прохождением проверки достоверности определения сметной стоимости проектных и изыскательских работ с получением положительного заключения достоверности сметной стоимости проектных и изыскательских работ по объекту: «Строительство подъездной автомобильной дороги от ул. Ленина до территории земельного участка для размещения МБОУ СОШ на 1340 мест по адресу: Ростовская область, г. Азов, ул. Московская, 304»;</w:t>
      </w:r>
    </w:p>
    <w:p w:rsidR="00FC1500" w:rsidRPr="00FC1500" w:rsidRDefault="00FC1500" w:rsidP="00667AC4">
      <w:pPr>
        <w:suppressAutoHyphens w:val="0"/>
        <w:spacing w:after="310"/>
        <w:ind w:left="-15" w:firstLine="540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150 000,00 руб. (средства бюджета города) - расходы на разработку сметного расчета на проектные и изыскательские работы с прохождением проверки достоверности определения сметной стоимости проектных и изыскательских работ с получением положительного заключения о достоверности определения сметной стоимости проектных и изыскательских работ по объекту: «Строительство разводящих сетей водоснабжения и водоотведения в микрорайоне для многодетных семей в юго-западной части г. Азова Ро</w:t>
      </w:r>
      <w:bookmarkStart w:id="0" w:name="_GoBack"/>
      <w:bookmarkEnd w:id="0"/>
      <w:r w:rsidRPr="00FC1500">
        <w:rPr>
          <w:color w:val="000000"/>
          <w:sz w:val="28"/>
          <w:szCs w:val="22"/>
          <w:lang w:eastAsia="ru-RU"/>
        </w:rPr>
        <w:t xml:space="preserve">стовской области» Управлению ЖКХ г. Азова; </w:t>
      </w:r>
    </w:p>
    <w:p w:rsidR="00FC1500" w:rsidRPr="0014249C" w:rsidRDefault="00FC1500" w:rsidP="00667AC4">
      <w:pPr>
        <w:suppressAutoHyphens w:val="0"/>
        <w:spacing w:after="632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FC1500">
        <w:rPr>
          <w:color w:val="000000"/>
          <w:sz w:val="28"/>
          <w:szCs w:val="22"/>
          <w:lang w:eastAsia="ru-RU"/>
        </w:rPr>
        <w:t>В 2025 и в 2026 году будут приняты меры по недопущению роста объема незавершенного строительства.</w:t>
      </w:r>
    </w:p>
    <w:p w:rsidR="00AA40BF" w:rsidRPr="001742D5" w:rsidRDefault="00AA40BF" w:rsidP="00667AC4">
      <w:pPr>
        <w:ind w:firstLine="709"/>
        <w:jc w:val="both"/>
        <w:rPr>
          <w:b/>
          <w:sz w:val="28"/>
          <w:szCs w:val="28"/>
        </w:rPr>
      </w:pPr>
      <w:r w:rsidRPr="001742D5">
        <w:rPr>
          <w:b/>
          <w:sz w:val="28"/>
          <w:szCs w:val="28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742D5" w:rsidRPr="00E90AF7" w:rsidRDefault="001742D5" w:rsidP="00667AC4">
      <w:pPr>
        <w:pStyle w:val="Default"/>
        <w:tabs>
          <w:tab w:val="left" w:pos="426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E90AF7">
        <w:rPr>
          <w:color w:val="auto"/>
          <w:sz w:val="28"/>
          <w:szCs w:val="28"/>
        </w:rPr>
        <w:t>Кредиторская задолженность по оплате труда (включая начисления на оплату труда) муниц</w:t>
      </w:r>
      <w:r>
        <w:rPr>
          <w:color w:val="auto"/>
          <w:sz w:val="28"/>
          <w:szCs w:val="28"/>
        </w:rPr>
        <w:t>ипальных учреждений в общем объё</w:t>
      </w:r>
      <w:r w:rsidRPr="00E90AF7">
        <w:rPr>
          <w:color w:val="auto"/>
          <w:sz w:val="28"/>
          <w:szCs w:val="28"/>
        </w:rPr>
        <w:t>ме расходов муниципального образования на оплату труда (включая на</w:t>
      </w:r>
      <w:r>
        <w:rPr>
          <w:color w:val="auto"/>
          <w:sz w:val="28"/>
          <w:szCs w:val="28"/>
        </w:rPr>
        <w:t>числения на оплату труда) в 2024 году отсутствует. В 2022, 2023 годах</w:t>
      </w:r>
      <w:r w:rsidRPr="00E90AF7">
        <w:rPr>
          <w:color w:val="auto"/>
          <w:sz w:val="28"/>
          <w:szCs w:val="28"/>
        </w:rPr>
        <w:t xml:space="preserve"> данный показатель также имеет нулевые значения.</w:t>
      </w:r>
    </w:p>
    <w:p w:rsidR="001742D5" w:rsidRPr="00E90AF7" w:rsidRDefault="001742D5" w:rsidP="00667AC4">
      <w:pPr>
        <w:pStyle w:val="Default"/>
        <w:tabs>
          <w:tab w:val="left" w:pos="426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E90AF7">
        <w:rPr>
          <w:color w:val="auto"/>
          <w:sz w:val="28"/>
          <w:szCs w:val="28"/>
        </w:rPr>
        <w:t>Отсутствие задолженности сохраняется вследствие проводимых органом местного самоуправления мероприятий:</w:t>
      </w:r>
    </w:p>
    <w:p w:rsidR="001742D5" w:rsidRPr="00E90AF7" w:rsidRDefault="001742D5" w:rsidP="00667AC4">
      <w:pPr>
        <w:pStyle w:val="Default"/>
        <w:tabs>
          <w:tab w:val="left" w:pos="426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E90AF7">
        <w:rPr>
          <w:color w:val="auto"/>
          <w:sz w:val="28"/>
          <w:szCs w:val="28"/>
        </w:rPr>
        <w:lastRenderedPageBreak/>
        <w:t>- проведение эффективной бюджетной и налоговой политики; администрацией города Азова принимаются меры по увеличению доходной части бюджета и собираемости налогов, которые позволяют выплачивать работникам муниципальных учреждений заработную плату в полном объеме и в установленные сроки.</w:t>
      </w:r>
    </w:p>
    <w:p w:rsidR="001742D5" w:rsidRPr="00E90AF7" w:rsidRDefault="001742D5" w:rsidP="00667AC4">
      <w:pPr>
        <w:pStyle w:val="Default"/>
        <w:tabs>
          <w:tab w:val="left" w:pos="426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E90AF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E90AF7">
        <w:rPr>
          <w:color w:val="auto"/>
          <w:sz w:val="28"/>
          <w:szCs w:val="28"/>
        </w:rPr>
        <w:t>планомерное выполнение плана работы городской межведомственной комиссий по снижению неформальной занятости, легализации «теневой» заработной платы, повышению собираемости страховых взносов во внебюджетные фонды и контролю за соблюдением трудового законодательства.</w:t>
      </w:r>
    </w:p>
    <w:p w:rsidR="001742D5" w:rsidRPr="00E90AF7" w:rsidRDefault="001742D5" w:rsidP="00667AC4">
      <w:pPr>
        <w:pStyle w:val="Default"/>
        <w:tabs>
          <w:tab w:val="left" w:pos="426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E90AF7">
        <w:rPr>
          <w:color w:val="auto"/>
          <w:sz w:val="28"/>
          <w:szCs w:val="28"/>
        </w:rPr>
        <w:t>- регулярное проведение заседаний Координационного Совета по вопросам собираемости налогов и других обязательных платежей</w:t>
      </w:r>
      <w:r>
        <w:rPr>
          <w:color w:val="auto"/>
          <w:sz w:val="28"/>
          <w:szCs w:val="28"/>
        </w:rPr>
        <w:t>.</w:t>
      </w:r>
    </w:p>
    <w:p w:rsidR="001742D5" w:rsidRPr="00E90AF7" w:rsidRDefault="001742D5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Принимаемые меры позволяют прогнозировать отсутствие кредиторской задолженности по зара</w:t>
      </w:r>
      <w:r>
        <w:rPr>
          <w:sz w:val="28"/>
          <w:szCs w:val="28"/>
        </w:rPr>
        <w:t>ботной плате на период с 2025 по 2027</w:t>
      </w:r>
      <w:r w:rsidRPr="00E90AF7">
        <w:rPr>
          <w:sz w:val="28"/>
          <w:szCs w:val="28"/>
        </w:rPr>
        <w:t xml:space="preserve"> годы включительно.</w:t>
      </w:r>
    </w:p>
    <w:p w:rsidR="00AA40BF" w:rsidRPr="007F73EE" w:rsidRDefault="00AA40BF" w:rsidP="00667AC4">
      <w:pPr>
        <w:jc w:val="both"/>
        <w:rPr>
          <w:b/>
          <w:sz w:val="28"/>
          <w:szCs w:val="28"/>
          <w:highlight w:val="yellow"/>
        </w:rPr>
      </w:pPr>
    </w:p>
    <w:p w:rsidR="00AA40BF" w:rsidRDefault="00AA40BF" w:rsidP="00667AC4">
      <w:pPr>
        <w:ind w:firstLine="709"/>
        <w:jc w:val="both"/>
        <w:rPr>
          <w:b/>
          <w:sz w:val="28"/>
          <w:szCs w:val="28"/>
        </w:rPr>
      </w:pPr>
      <w:r w:rsidRPr="00BF5A19">
        <w:rPr>
          <w:b/>
          <w:sz w:val="28"/>
          <w:szCs w:val="28"/>
        </w:rPr>
        <w:t>Показатель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BF5A19" w:rsidRPr="007E144E" w:rsidRDefault="00BF5A19" w:rsidP="00667A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2024 году расходы на содержание органов местного самоуправления в расчете на одного жителя муниципального образования составили 2655,09 руб.</w:t>
      </w:r>
    </w:p>
    <w:p w:rsidR="00BF5A19" w:rsidRPr="007E144E" w:rsidRDefault="00BF5A19" w:rsidP="00667A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2025 году планируются расходы на содержание органов местного самоуправления в расчете на одного жителя муниципального образования в сумме 2850,33 руб., в связи с индексацией с 1 октября 2025 года на 4,5 % размеров должностных окладов муниципальных служащих и специалистов с высшим образованием аппарата Администрации города Азова и отраслевых (функциональных) органов Администрации города Азова.</w:t>
      </w:r>
    </w:p>
    <w:p w:rsidR="00BF5A19" w:rsidRPr="007E144E" w:rsidRDefault="00BF5A19" w:rsidP="00667A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2026 году планируются расходы на содержание органов местного самоуправления в расчете на одного жителя муниципального образования в сумме 2953,94 руб., в связи с индексацией с 1 октября 2026 года на 4,0 % размеров должностных окладов муниципальных служащих и специалистов с высшим образованием аппарата Администрации города Азова и отраслевых (функциональных) органов Администрации города Азова.</w:t>
      </w:r>
    </w:p>
    <w:p w:rsidR="00BF5A19" w:rsidRPr="007E144E" w:rsidRDefault="00BF5A19" w:rsidP="00667A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>В 2027 году планируются расходы на содержание органов местного самоуправления в расчете на одного жителя муниципального образования в сумме 3060,38 руб., в связи с индексацией с 1 октября 2027 года на 4,0 % размеров должностных окладов муниципальных служащих и специалистов с высшим образованием аппарата Администрации города Азова и отраслевых (функциональных) органов Администрации города Азова.</w:t>
      </w:r>
    </w:p>
    <w:p w:rsidR="00BF5A19" w:rsidRPr="007E144E" w:rsidRDefault="00BF5A19" w:rsidP="00667AC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</w:p>
    <w:p w:rsidR="00BF5A19" w:rsidRPr="007E144E" w:rsidRDefault="00BF5A19" w:rsidP="00667AC4">
      <w:pPr>
        <w:ind w:firstLine="709"/>
        <w:jc w:val="both"/>
        <w:rPr>
          <w:sz w:val="28"/>
          <w:szCs w:val="28"/>
        </w:rPr>
      </w:pPr>
      <w:r w:rsidRPr="007E144E">
        <w:rPr>
          <w:sz w:val="28"/>
          <w:szCs w:val="28"/>
        </w:rPr>
        <w:t xml:space="preserve">Плановые показатели рассчитывались в соответствии с Решением Азовской городской Думы от 11.02.2025 № 39 «О внесении изменений в решение Азовской городской Думы «О бюджете города Азова на 2025 год и на плановый период 2026 и 2027 годов»». В расчете использовалась </w:t>
      </w:r>
      <w:r w:rsidRPr="007E144E">
        <w:rPr>
          <w:sz w:val="28"/>
          <w:szCs w:val="28"/>
        </w:rPr>
        <w:lastRenderedPageBreak/>
        <w:t>среднегодовая численность постоянного населения в 2023 году - 80 757 чел., в 2024-2027 годы – 80126 чел.</w:t>
      </w:r>
    </w:p>
    <w:p w:rsidR="00F73507" w:rsidRPr="007F73EE" w:rsidRDefault="00F73507" w:rsidP="00667AC4">
      <w:pPr>
        <w:pStyle w:val="a3"/>
        <w:tabs>
          <w:tab w:val="left" w:pos="142"/>
        </w:tabs>
        <w:ind w:left="0"/>
        <w:jc w:val="both"/>
        <w:rPr>
          <w:b/>
          <w:sz w:val="28"/>
          <w:szCs w:val="28"/>
          <w:highlight w:val="yellow"/>
          <w:lang w:eastAsia="ar-SA"/>
        </w:rPr>
      </w:pPr>
    </w:p>
    <w:p w:rsidR="00AA40BF" w:rsidRPr="00DF26B0" w:rsidRDefault="00AA40BF" w:rsidP="00667AC4">
      <w:pPr>
        <w:pStyle w:val="a3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DF26B0">
        <w:rPr>
          <w:b/>
          <w:sz w:val="28"/>
          <w:szCs w:val="28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DF26B0" w:rsidRPr="00DF26B0" w:rsidRDefault="00DF26B0" w:rsidP="00667AC4">
      <w:pPr>
        <w:pStyle w:val="a3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</w:p>
    <w:p w:rsidR="00DF26B0" w:rsidRPr="00DF26B0" w:rsidRDefault="00DF26B0" w:rsidP="00667AC4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  <w:highlight w:val="yellow"/>
        </w:rPr>
      </w:pPr>
      <w:r w:rsidRPr="00DF26B0">
        <w:rPr>
          <w:sz w:val="28"/>
          <w:szCs w:val="28"/>
        </w:rPr>
        <w:t>Генеральный план Городского округа «Город Азов» утвержден Решением Азовской городской Думы от 02.06.2008 № 240 «Об утверждении генерального плана Городского округа «Город Азов». Правила землепользования и застройки Муниципального образования «Город Азов» утверждены Решением Азовской городской Думы от 08.10.2009 № 336 «Об утверждении Правил землепользования и застройки Муниципального образования «Город Азов» с изменениями, принятыми Решениями Азовской городской Думы № 89 от 28.01.2011, № 97 от 31.03.2011, № 192 от 25.10.2012, № 267 от 08.10.2013, № 334 от 25.06.2014, № 140 от 26.02.2016, № 172 от 23.06.2016, № 216 от 22.02.2017, № 265 от 25.08.2017, № 309 от 28.02.2018, № 324 от 27.06.2018, № 354 от 30.01.2019, № 377 от 29.05.2019, № 11от 21.10.2019 № 43 от 26.02.2020, № 98 от 23.12.2020, № 172 от 23.03.2022, № 225 от 27.09.2023.</w:t>
      </w:r>
    </w:p>
    <w:p w:rsidR="00DF26B0" w:rsidRDefault="00DF26B0" w:rsidP="00667AC4">
      <w:pPr>
        <w:tabs>
          <w:tab w:val="left" w:pos="709"/>
          <w:tab w:val="left" w:pos="1134"/>
        </w:tabs>
        <w:suppressAutoHyphens w:val="0"/>
        <w:ind w:firstLine="709"/>
        <w:jc w:val="both"/>
        <w:rPr>
          <w:color w:val="000000"/>
          <w:sz w:val="28"/>
          <w:szCs w:val="22"/>
          <w:lang w:eastAsia="ru-RU"/>
        </w:rPr>
      </w:pPr>
    </w:p>
    <w:p w:rsidR="00AA40BF" w:rsidRDefault="00AA40BF" w:rsidP="00667AC4">
      <w:pPr>
        <w:tabs>
          <w:tab w:val="left" w:pos="709"/>
          <w:tab w:val="left" w:pos="1134"/>
        </w:tabs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AB6403">
        <w:rPr>
          <w:b/>
          <w:sz w:val="28"/>
          <w:szCs w:val="28"/>
          <w:lang w:eastAsia="en-US"/>
        </w:rPr>
        <w:t>Показатель № 37. Удовлетворенность населения деятельностью органов местного самоуправления городского округа.</w:t>
      </w:r>
    </w:p>
    <w:p w:rsidR="00AB6403" w:rsidRPr="00AB6403" w:rsidRDefault="004A4A76" w:rsidP="00667AC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AB6403" w:rsidRPr="00AB6403">
        <w:rPr>
          <w:sz w:val="28"/>
          <w:szCs w:val="28"/>
          <w:lang w:eastAsia="en-US"/>
        </w:rPr>
        <w:t>о итогам 2024 года составил 50,7% при плановом значении 53,0 %. По сравнению с 2023 годом (52,9 %) показатель снизился на 2,2 % (снижение в рамках статистической погрешности).</w:t>
      </w:r>
    </w:p>
    <w:p w:rsidR="00AB6403" w:rsidRPr="00AB6403" w:rsidRDefault="00AB6403" w:rsidP="00667AC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B6403">
        <w:rPr>
          <w:rFonts w:eastAsia="Calibri"/>
          <w:sz w:val="28"/>
          <w:szCs w:val="28"/>
          <w:lang w:eastAsia="en-US"/>
        </w:rPr>
        <w:t>Анализ показателя у</w:t>
      </w:r>
      <w:r w:rsidRPr="00AB6403">
        <w:rPr>
          <w:sz w:val="28"/>
          <w:szCs w:val="28"/>
          <w:lang w:eastAsia="en-US"/>
        </w:rPr>
        <w:t xml:space="preserve">довлетворенности населения деятельностью органа местного самоуправления городского округа «Город Азов» </w:t>
      </w:r>
      <w:r w:rsidRPr="00AB6403">
        <w:rPr>
          <w:rFonts w:eastAsia="Calibri"/>
          <w:sz w:val="28"/>
          <w:szCs w:val="28"/>
          <w:lang w:eastAsia="en-US"/>
        </w:rPr>
        <w:t xml:space="preserve">показал, что его снижение обусловлено тем, что должность Главы города Азова продолжительное время была не замещена, а также повышением тарифов на жилищно-коммунальные услуги, ростом цен, падением реальных доходов населения. </w:t>
      </w:r>
      <w:r w:rsidRPr="00AB6403">
        <w:rPr>
          <w:rFonts w:eastAsia="Calibri"/>
          <w:sz w:val="28"/>
          <w:szCs w:val="28"/>
          <w:lang w:eastAsia="en-US"/>
        </w:rPr>
        <w:t>Кроме того,</w:t>
      </w:r>
      <w:r w:rsidRPr="00AB6403">
        <w:rPr>
          <w:rFonts w:eastAsia="Calibri"/>
          <w:sz w:val="28"/>
          <w:szCs w:val="28"/>
          <w:lang w:eastAsia="en-US"/>
        </w:rPr>
        <w:t xml:space="preserve"> снижение показателя обусловлено ухудшением качества воды в водопроводе, большими очередями в городских больницах, кадровым дефицитом в медицинских организациях города, продолжающейся проводимой специальной военной операцией и связанными с ней вопросами обеспечения безопасности в городе (факт атаки БЛА в 2024 году).</w:t>
      </w:r>
    </w:p>
    <w:p w:rsidR="00AB6403" w:rsidRPr="00AB6403" w:rsidRDefault="00AB6403" w:rsidP="00667AC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403">
        <w:rPr>
          <w:rFonts w:eastAsia="Calibri"/>
          <w:sz w:val="28"/>
          <w:szCs w:val="28"/>
          <w:lang w:eastAsia="en-US"/>
        </w:rPr>
        <w:t>Значение показателя «Уровень удовлетворенности населения деятельностью органов местного самоуправления» удерживается благодаря успешной реализации муниципальных программ города Азова, проведению культурно-массовых и спортивных мероприятий, улучшению качества услуг жилищно-коммунального хозяйства.</w:t>
      </w:r>
    </w:p>
    <w:p w:rsidR="00AB6403" w:rsidRPr="00AB6403" w:rsidRDefault="00AB6403" w:rsidP="00667AC4">
      <w:pPr>
        <w:suppressAutoHyphens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AB6403">
        <w:rPr>
          <w:rFonts w:cs="Calibri"/>
          <w:sz w:val="28"/>
          <w:szCs w:val="28"/>
          <w:lang w:eastAsia="ru-RU"/>
        </w:rPr>
        <w:t>Достижению результатов в отчетном году способствовала реализация ответственными исполнителями, соисполнителями и участниками муниципальных программ основных мероприятий целевых программ.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lastRenderedPageBreak/>
        <w:t xml:space="preserve">Из 20-ти муниципальных программ, реализуемых на территории города, 8 муниципальных программ носят ярко выраженный социальный характер. 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Так в целях создания условий для устойчивого функционирования транспортной системы города Азова и повышения скорости и безопасности передвижения пассажиров и перемещения грузов в рамках муниципальной программы города Азова «Развитие транспортной системы в городе Азове» в 2024 году выполнены работы по реконструкции автомобильной дороги в г. Азове: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- по ул. Гагарина, включая устройство недостающего освещения, работы выполнены общей протяженностью 1,328 км.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В 2024 году, в рамках реализации муниципальной программы города Азова «Развитие физической культуры и спорта в городе Азове», из местного бюджета всего было запланировано 27 196,3 тыс. рублей.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В городе работают федерации по видам спорта (настольный теннис, тайский бокс, футбол, кикбоксинг, баскетбол, киокусинкай , тхэквондо), с 2024 - волейбол. В муниципальных спортивных школах № 1, № 2, № 3 и областной спортивной школе ГБУ РО «СШОР № 9» спортивные секции по 15 видам спорта являются бесплатными.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 xml:space="preserve">В общеобразовательных учреждениях в 2024 году созданы школьные спортивные клубы. В каждом учреждении определены приоритетные для развития виды спорта. 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В 2024 году проведено более 120 физкультурно-оздоровительных и спортивно-массовых мероприятий, в которых приняло участие более 15 000 чел. Основными из них являются комплексные Спартакиады среди детей и взрослых, а также мероприятия по видам спорта среди школьников.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>По итогам за 2024 года специалистами МБУК ГДК г. Азова было проведено 420 культурно-массовых мероприятий, которые посетили 372361 человек, из них 97 мероприятий для детей до 14 лет, число посетителей – 38954 чел.; 47 мероприятий для молодёжи, число посетителей – 46858 чел.; 55 мероприятий для пожилых людей, число посетителей – 23385 чел.; остальные мероприятия в количестве 276 (число посетителей 263164 чел.) для смешанных категорий населения. Из общего количества мероприятий 327 были проведены на бесплатной основе в рамках муниципального задания. Количество мероприятий, проведенных МБУК ГДК г. Азова в 2024 году по отношению к предыдущему календарному году увеличилось, это связано с тем, что специалисты Дворца культуры ежегодно активизируют проведение массовых мероприятий.</w:t>
      </w:r>
    </w:p>
    <w:p w:rsidR="00AB6403" w:rsidRPr="00AB6403" w:rsidRDefault="00AB6403" w:rsidP="00667AC4">
      <w:pPr>
        <w:ind w:firstLine="709"/>
        <w:jc w:val="both"/>
        <w:rPr>
          <w:rFonts w:eastAsia="Calibri"/>
          <w:sz w:val="28"/>
          <w:szCs w:val="28"/>
        </w:rPr>
      </w:pPr>
      <w:r w:rsidRPr="00AB6403">
        <w:rPr>
          <w:rFonts w:eastAsia="Calibri"/>
          <w:sz w:val="28"/>
          <w:szCs w:val="28"/>
        </w:rPr>
        <w:t xml:space="preserve">Творческие коллективы МБУК ГДК г. Азова в 2024 году приняли участие в двух областных фестивалях, в четырёх межрегиональных, в двух Всероссийских и шести Международных, на которых были отмечены Благодарностями, Дипломами Лауреатов I, III степени и Гран-при. </w:t>
      </w:r>
    </w:p>
    <w:p w:rsidR="00AB6403" w:rsidRPr="00AB6403" w:rsidRDefault="00AB6403" w:rsidP="00667AC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403">
        <w:rPr>
          <w:rFonts w:eastAsia="Calibri"/>
          <w:sz w:val="28"/>
          <w:szCs w:val="28"/>
          <w:lang w:eastAsia="en-US"/>
        </w:rPr>
        <w:t xml:space="preserve">Стабильное значение показателя </w:t>
      </w:r>
      <w:r w:rsidRPr="00AB6403">
        <w:rPr>
          <w:sz w:val="28"/>
          <w:szCs w:val="28"/>
          <w:lang w:eastAsia="en-US"/>
        </w:rPr>
        <w:t>«</w:t>
      </w:r>
      <w:r w:rsidRPr="00AB6403">
        <w:rPr>
          <w:rFonts w:eastAsia="Calibri"/>
          <w:sz w:val="28"/>
          <w:szCs w:val="28"/>
          <w:lang w:eastAsia="en-US"/>
        </w:rPr>
        <w:t>Удовлетворенность населения деятельностью органов местного самоуправления городского округа (муниципального района)»</w:t>
      </w:r>
      <w:r w:rsidRPr="00AB6403">
        <w:rPr>
          <w:sz w:val="28"/>
          <w:szCs w:val="28"/>
          <w:lang w:eastAsia="en-US"/>
        </w:rPr>
        <w:t xml:space="preserve"> в муниципальном образовании «Город Азов» </w:t>
      </w:r>
      <w:r w:rsidRPr="00AB6403">
        <w:rPr>
          <w:rFonts w:eastAsia="Calibri"/>
          <w:sz w:val="28"/>
          <w:szCs w:val="28"/>
          <w:lang w:eastAsia="en-US"/>
        </w:rPr>
        <w:t xml:space="preserve">будет поддерживаться путем обеспечения информационной открытости </w:t>
      </w:r>
      <w:r w:rsidRPr="00AB6403">
        <w:rPr>
          <w:rFonts w:eastAsia="Calibri"/>
          <w:sz w:val="28"/>
          <w:szCs w:val="28"/>
          <w:lang w:eastAsia="en-US"/>
        </w:rPr>
        <w:lastRenderedPageBreak/>
        <w:t>деятельности  Администрации города Азова, проведения  публичных отчетов Главы города Азова, встреч представителей  Администрации города Азова с различными категориями населения, активной работы муниципального центра управления, расширением перечня услуг, предоставляемых МФЦ  и повышения качества предоставления муниципальных услуг.</w:t>
      </w:r>
    </w:p>
    <w:p w:rsidR="00AB6403" w:rsidRPr="00AB6403" w:rsidRDefault="00AB6403" w:rsidP="00667AC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B6403">
        <w:rPr>
          <w:sz w:val="28"/>
          <w:szCs w:val="28"/>
          <w:lang w:eastAsia="en-US"/>
        </w:rPr>
        <w:t>На период до 2027 года прогнозируется незначительный рост значения показателя «</w:t>
      </w:r>
      <w:r w:rsidRPr="00AB6403">
        <w:rPr>
          <w:rFonts w:eastAsia="Calibri"/>
          <w:sz w:val="28"/>
          <w:szCs w:val="28"/>
          <w:lang w:eastAsia="en-US"/>
        </w:rPr>
        <w:t>Удовлетворенность населения деятельностью органов местного</w:t>
      </w:r>
      <w:r w:rsidRPr="00AB6403">
        <w:rPr>
          <w:rFonts w:eastAsia="Calibri"/>
          <w:sz w:val="28"/>
          <w:szCs w:val="28"/>
          <w:lang w:eastAsia="en-US"/>
        </w:rPr>
        <w:br/>
        <w:t>самоуправления городского округа (муниципального района)</w:t>
      </w:r>
      <w:r w:rsidRPr="00AB6403">
        <w:rPr>
          <w:sz w:val="28"/>
          <w:szCs w:val="28"/>
          <w:lang w:eastAsia="en-US"/>
        </w:rPr>
        <w:t>» за счет продолжения проведения органами местного самоуправления плановых мероприятий по обеспечению результативности и контролю за решением текущих и перспективных вопросов развития отраслей городского хозяйства, улучшением качества дорог, предоставления услуг жилищно-коммунального хозяйства, медицинского облуживания.</w:t>
      </w:r>
    </w:p>
    <w:p w:rsidR="00AB6403" w:rsidRPr="00AB6403" w:rsidRDefault="00AB6403" w:rsidP="00667AC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403">
        <w:rPr>
          <w:sz w:val="28"/>
          <w:szCs w:val="28"/>
          <w:lang w:eastAsia="en-US"/>
        </w:rPr>
        <w:t>На 2025 год и плановый период 2026 и 2027 годов показатель «</w:t>
      </w:r>
      <w:r w:rsidRPr="00AB6403">
        <w:rPr>
          <w:rFonts w:eastAsia="Calibri"/>
          <w:sz w:val="28"/>
          <w:szCs w:val="28"/>
          <w:lang w:eastAsia="en-US"/>
        </w:rPr>
        <w:t>Удовлетворенность населения деятельностью органов местного самоуправления городского округа (муниципального района)</w:t>
      </w:r>
      <w:r w:rsidRPr="00AB6403">
        <w:rPr>
          <w:sz w:val="28"/>
          <w:szCs w:val="28"/>
          <w:lang w:eastAsia="en-US"/>
        </w:rPr>
        <w:t xml:space="preserve">» </w:t>
      </w:r>
      <w:r w:rsidR="004A4A76" w:rsidRPr="00AB6403">
        <w:rPr>
          <w:sz w:val="28"/>
          <w:szCs w:val="28"/>
          <w:lang w:eastAsia="en-US"/>
        </w:rPr>
        <w:t>в муниципальном образовании</w:t>
      </w:r>
      <w:r w:rsidRPr="00AB6403">
        <w:rPr>
          <w:sz w:val="28"/>
          <w:szCs w:val="28"/>
          <w:lang w:eastAsia="en-US"/>
        </w:rPr>
        <w:t xml:space="preserve"> «Город Азов» </w:t>
      </w:r>
      <w:r w:rsidRPr="00AB6403">
        <w:rPr>
          <w:rFonts w:eastAsia="Calibri"/>
          <w:sz w:val="28"/>
          <w:szCs w:val="28"/>
          <w:lang w:eastAsia="en-US"/>
        </w:rPr>
        <w:t>планируется на уровне 50,9%, 51,1% и 51,3 %.</w:t>
      </w:r>
    </w:p>
    <w:p w:rsidR="00AA40BF" w:rsidRPr="007F73EE" w:rsidRDefault="00AA40BF" w:rsidP="00667AC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AA40BF" w:rsidRPr="007F73EE" w:rsidRDefault="00AA40BF" w:rsidP="00667AC4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  <w:lang w:eastAsia="ru-RU"/>
        </w:rPr>
      </w:pPr>
      <w:r w:rsidRPr="001E10C7">
        <w:rPr>
          <w:b/>
          <w:sz w:val="28"/>
          <w:szCs w:val="28"/>
        </w:rPr>
        <w:t>Показатель 38. Среднегодовая численность постоянного населения.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1E10C7">
        <w:rPr>
          <w:sz w:val="28"/>
          <w:szCs w:val="28"/>
          <w:lang w:eastAsia="ru-RU"/>
        </w:rPr>
        <w:t xml:space="preserve"> 2022 г. составила 81,2 тыс. чел. В 2023 году среднегодовая численность постоянного населения составила 80,6 тыс. чел. В 2024 году среднегодовая численность постоянного населения составила 80,1 тыс. чел. 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0C7">
        <w:rPr>
          <w:sz w:val="28"/>
          <w:szCs w:val="28"/>
          <w:lang w:eastAsia="ru-RU"/>
        </w:rPr>
        <w:t xml:space="preserve">Снижение численности населения в 2023 году произошло из-за естественной убыли населения. Положительное сальдо миграции не смогло компенсировать естественные потери населения.   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0C7">
        <w:rPr>
          <w:sz w:val="28"/>
          <w:szCs w:val="28"/>
          <w:lang w:eastAsia="ru-RU"/>
        </w:rPr>
        <w:t xml:space="preserve">Естественная убыль населения составил в 2022 году – (- 565 чел.), в 2023 году </w:t>
      </w:r>
      <w:r w:rsidR="0035197F">
        <w:rPr>
          <w:sz w:val="28"/>
          <w:szCs w:val="28"/>
          <w:lang w:eastAsia="ru-RU"/>
        </w:rPr>
        <w:t>-</w:t>
      </w:r>
      <w:r w:rsidRPr="001E10C7">
        <w:rPr>
          <w:sz w:val="28"/>
          <w:szCs w:val="28"/>
          <w:lang w:eastAsia="ru-RU"/>
        </w:rPr>
        <w:t xml:space="preserve"> (- 456 чел.), в 2024 году - (- 602 чел.).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0C7">
        <w:rPr>
          <w:sz w:val="28"/>
          <w:szCs w:val="28"/>
          <w:lang w:eastAsia="ru-RU"/>
        </w:rPr>
        <w:t xml:space="preserve">За 2024 год отмечена отрицательная динамика рождаемости (темп роста рождаемости за 2024 год составил 91,6%) и отрицательная динамика смертности (смертность выросла за 2024 год на 9,3%). 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0C7">
        <w:rPr>
          <w:sz w:val="28"/>
          <w:szCs w:val="28"/>
          <w:lang w:eastAsia="ru-RU"/>
        </w:rPr>
        <w:t xml:space="preserve">За 2022 год прибыло в город 1312 человек, выбыло – 1544, сальдо миграции (-232 чел.). За 2023 год прибыло в город 1437 человек, выбыло – 1359, наблюдается миграционный приток – 78 человек. Информация за 2024 год на момент подготовки отчета отсутствует. </w:t>
      </w:r>
    </w:p>
    <w:p w:rsidR="001E10C7" w:rsidRPr="001E10C7" w:rsidRDefault="001E10C7" w:rsidP="00667AC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0C7">
        <w:rPr>
          <w:sz w:val="28"/>
          <w:szCs w:val="28"/>
          <w:lang w:eastAsia="ru-RU"/>
        </w:rPr>
        <w:t xml:space="preserve">Положительное сальдо миграции дает основание прогнозировать в 2025-2027 годах не значительный рост среднегодовой численности постоянного населения, которая составит соответственно 80,15 тыс. чел., 80,21 тыс. чел. и 80,27 тыс. чел. </w:t>
      </w:r>
    </w:p>
    <w:p w:rsidR="00500E92" w:rsidRPr="007F73EE" w:rsidRDefault="00500E92" w:rsidP="00667AC4">
      <w:pPr>
        <w:ind w:firstLine="709"/>
        <w:jc w:val="both"/>
        <w:rPr>
          <w:sz w:val="28"/>
          <w:szCs w:val="28"/>
          <w:highlight w:val="yellow"/>
        </w:rPr>
      </w:pPr>
    </w:p>
    <w:p w:rsidR="00AA40BF" w:rsidRPr="004F2FC0" w:rsidRDefault="00AA40BF" w:rsidP="00667AC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F2FC0">
        <w:rPr>
          <w:b/>
          <w:sz w:val="28"/>
          <w:szCs w:val="28"/>
          <w:lang w:val="en-US"/>
        </w:rPr>
        <w:t>IX</w:t>
      </w:r>
      <w:r w:rsidRPr="004F2FC0">
        <w:rPr>
          <w:b/>
          <w:sz w:val="28"/>
          <w:szCs w:val="28"/>
        </w:rPr>
        <w:t>. Энергосбережение и повышение энергетической эффективности</w:t>
      </w:r>
    </w:p>
    <w:p w:rsidR="00AA40BF" w:rsidRPr="004F2FC0" w:rsidRDefault="00AA40BF" w:rsidP="00667AC4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AA40BF" w:rsidRPr="004F2FC0" w:rsidRDefault="00AA40BF" w:rsidP="00667AC4">
      <w:pPr>
        <w:tabs>
          <w:tab w:val="left" w:pos="709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4F2FC0">
        <w:rPr>
          <w:b/>
          <w:sz w:val="28"/>
          <w:szCs w:val="28"/>
          <w:lang w:eastAsia="ru-RU"/>
        </w:rPr>
        <w:t>Показатель 39. Удельная величина потребления энергетических ресурсов в многоквартирных домах.</w:t>
      </w:r>
    </w:p>
    <w:p w:rsidR="004F2FC0" w:rsidRPr="004F2FC0" w:rsidRDefault="004F2FC0" w:rsidP="00667AC4">
      <w:pPr>
        <w:suppressAutoHyphens w:val="0"/>
        <w:ind w:left="704" w:hanging="10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u w:val="single" w:color="000000"/>
          <w:lang w:eastAsia="ru-RU"/>
        </w:rPr>
        <w:t>Электрическая энергия</w:t>
      </w:r>
      <w:r w:rsidRPr="004F2FC0">
        <w:rPr>
          <w:color w:val="000000"/>
          <w:sz w:val="28"/>
          <w:szCs w:val="22"/>
          <w:lang w:eastAsia="ru-RU"/>
        </w:rPr>
        <w:t>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lastRenderedPageBreak/>
        <w:t>Удельная величина потребления электрической энергии в многоквартирных домах на одного проживающего в 2024 году составила 787,1 кВт.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удельного веса потребления электрической энергии на 1 проживающего достигнуто в связи с применением энергосберегающих технологий, оборудования и материалов при проведении капитального ремонта систем электроснабжения в многоквартирных домах.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электрической энергии в многоквартирных домах на одного проживающего на плановый период 2023 - 2025 годов составит - 787,1 кВт.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достигнутых значений показателя на период с 2023 по 2025 год планируется за счет проведения мероприятий по энергосбережению при капитальном ремонте и обслуживании внутридомовых систем электроснабжения в многоквартирных домах.</w:t>
      </w:r>
    </w:p>
    <w:p w:rsidR="004F2FC0" w:rsidRPr="004F2FC0" w:rsidRDefault="004F2FC0" w:rsidP="00667AC4">
      <w:pPr>
        <w:suppressAutoHyphens w:val="0"/>
        <w:ind w:left="704" w:hanging="10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u w:val="single" w:color="000000"/>
          <w:lang w:eastAsia="ru-RU"/>
        </w:rPr>
        <w:t>Тепловая энергия</w:t>
      </w:r>
      <w:r w:rsidRPr="004F2FC0">
        <w:rPr>
          <w:color w:val="000000"/>
          <w:sz w:val="28"/>
          <w:szCs w:val="22"/>
          <w:lang w:eastAsia="ru-RU"/>
        </w:rPr>
        <w:t>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Удельный вес потребления тепловой энергии в многоквартирных домах на один квадратный метр общей площади составил в 2024 году 0,12 Гкал.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удельной величины потребления тепловой энергии произошло за счет проведения мероприятий по капитальному ремонту сетей теплоснабжения, установки приборов учета и регулировочной аппаратуры.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тепловой энергии в многоквартирных домах на один квадратный метр общей площади на плановый период 2023 - 2025 годов составит 0,12 Гкал.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Незначительное снижение значений удельной величины потребления тепловой энергии в период с 2023 по 2025 год планируется за счет проведения комплекса мероприятий по энергосбережению и повышению энергетической эффективности на территории города Азова, что не отразится на изменении показателя.</w:t>
      </w:r>
    </w:p>
    <w:p w:rsidR="004F2FC0" w:rsidRPr="004F2FC0" w:rsidRDefault="004F2FC0" w:rsidP="00667AC4">
      <w:pPr>
        <w:suppressAutoHyphens w:val="0"/>
        <w:ind w:left="704" w:hanging="10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u w:val="single" w:color="000000"/>
          <w:lang w:eastAsia="ru-RU"/>
        </w:rPr>
        <w:t>Горячая вода</w:t>
      </w:r>
      <w:r w:rsidRPr="004F2FC0">
        <w:rPr>
          <w:color w:val="000000"/>
          <w:sz w:val="28"/>
          <w:szCs w:val="22"/>
          <w:lang w:eastAsia="ru-RU"/>
        </w:rPr>
        <w:t>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В 2020 - 2024 годах удельная величина потребления горячей воды в многоквартирных домах на одного проживающего составила 20,5 куб. метров.</w:t>
      </w:r>
    </w:p>
    <w:p w:rsidR="004F2FC0" w:rsidRPr="004F2FC0" w:rsidRDefault="004F2FC0" w:rsidP="00667AC4">
      <w:pPr>
        <w:suppressAutoHyphens w:val="0"/>
        <w:ind w:firstLine="70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 xml:space="preserve">Сохранение значения удельного веса потребления горячей воды на 1 проживающего в 2024 году произошло в связи с проведением капитального ремонта систем горячего водоснабжения в многоквартирных домах с использованием </w:t>
      </w:r>
      <w:r w:rsidRPr="004F2FC0">
        <w:rPr>
          <w:color w:val="000000"/>
          <w:sz w:val="28"/>
          <w:szCs w:val="22"/>
          <w:lang w:eastAsia="ru-RU"/>
        </w:rPr>
        <w:tab/>
        <w:t xml:space="preserve">энергосберегающих </w:t>
      </w:r>
      <w:r w:rsidRPr="004F2FC0">
        <w:rPr>
          <w:color w:val="000000"/>
          <w:sz w:val="28"/>
          <w:szCs w:val="22"/>
          <w:lang w:eastAsia="ru-RU"/>
        </w:rPr>
        <w:tab/>
        <w:t xml:space="preserve">материалов, </w:t>
      </w:r>
      <w:r w:rsidRPr="004F2FC0">
        <w:rPr>
          <w:color w:val="000000"/>
          <w:sz w:val="28"/>
          <w:szCs w:val="22"/>
          <w:lang w:eastAsia="ru-RU"/>
        </w:rPr>
        <w:tab/>
        <w:t>осуществлением мероприятий по энергосбережению.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горячей воды в многоквартирных домах на одного проживающего на плановый период 2023 - 2025 годов составит 20,5 куб. метров.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удельной величины потребления горячей воды на 1 проживающего планируется за счет проведения мероприятий по энергосбережению при капитальном ремонте и обслуживании внутридомовых систем водоснабжения в многоквартирных домах.</w:t>
      </w:r>
    </w:p>
    <w:p w:rsidR="004F2FC0" w:rsidRPr="004F2FC0" w:rsidRDefault="004F2FC0" w:rsidP="00667AC4">
      <w:pPr>
        <w:suppressAutoHyphens w:val="0"/>
        <w:ind w:left="704" w:hanging="10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u w:val="single" w:color="000000"/>
          <w:lang w:eastAsia="ru-RU"/>
        </w:rPr>
        <w:t>Холодная вода</w:t>
      </w:r>
      <w:r w:rsidRPr="004F2FC0">
        <w:rPr>
          <w:color w:val="000000"/>
          <w:sz w:val="28"/>
          <w:szCs w:val="22"/>
          <w:lang w:eastAsia="ru-RU"/>
        </w:rPr>
        <w:t>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lastRenderedPageBreak/>
        <w:t>Удельная величина потребления холодной воды в многоквартирных домах на одного проживающего составила в 2024 году – 52,0 куб. метров (2020-2024 гг. – 52,0 куб. метров).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удельного веса потребления холодной воды на 1 проживающего в 2024 году достигнуто проведением капитального ремонта систем холодного водоснабжения в многоквартирных домах, установкой приборов учета потребления воды.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холодной воды в многоквартирных домах на одного проживающего на плановый период 2023 - 2025 годов составит 52,0 куб. метров.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удельной величины потребления холодной воды на 1 проживающего планируется за счет проведения капитального ремонта систем холодного водоснабжения и мероприятий по энергосбережению в многоквартирных домах.</w:t>
      </w:r>
    </w:p>
    <w:p w:rsidR="004F2FC0" w:rsidRPr="004F2FC0" w:rsidRDefault="004F2FC0" w:rsidP="00667AC4">
      <w:pPr>
        <w:suppressAutoHyphens w:val="0"/>
        <w:ind w:left="704" w:hanging="10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u w:val="single" w:color="000000"/>
          <w:lang w:eastAsia="ru-RU"/>
        </w:rPr>
        <w:t>Природный газ</w:t>
      </w:r>
      <w:r w:rsidRPr="004F2FC0">
        <w:rPr>
          <w:color w:val="000000"/>
          <w:sz w:val="28"/>
          <w:szCs w:val="22"/>
          <w:lang w:eastAsia="ru-RU"/>
        </w:rPr>
        <w:t>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природного газа в многоквартирных домах на одного проживающего в 2020 - 2024 годах – 281,4 куб. метров.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удельного веса потребления природного газа на 1 проживающего в 2024 году достигнуто за счет проведения мероприятий по энергосбережению в многоквартирных домах.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Удельная величина потребления природного газа в многоквартирных домах на одного проживающего на плановый период 2023 - 2025 годов – 281,4 куб. метров.</w:t>
      </w:r>
    </w:p>
    <w:p w:rsidR="004F2FC0" w:rsidRPr="004F2FC0" w:rsidRDefault="004F2FC0" w:rsidP="00667AC4">
      <w:pPr>
        <w:suppressAutoHyphens w:val="0"/>
        <w:spacing w:after="3"/>
        <w:ind w:left="-15" w:firstLine="699"/>
        <w:jc w:val="both"/>
        <w:rPr>
          <w:color w:val="000000"/>
          <w:sz w:val="28"/>
          <w:szCs w:val="22"/>
          <w:lang w:eastAsia="ru-RU"/>
        </w:rPr>
      </w:pPr>
      <w:r w:rsidRPr="004F2FC0">
        <w:rPr>
          <w:color w:val="000000"/>
          <w:sz w:val="28"/>
          <w:szCs w:val="22"/>
          <w:lang w:eastAsia="ru-RU"/>
        </w:rPr>
        <w:t>Сохранение удельной величины потребления природного газа на 1 проживающего планируется за счет проведения комплекса мероприятий по энергосбережению и повышению энергетической эффективности на территории города Азова.</w:t>
      </w:r>
    </w:p>
    <w:p w:rsidR="00AA40BF" w:rsidRPr="007F73EE" w:rsidRDefault="00AA40BF" w:rsidP="00667AC4">
      <w:pPr>
        <w:pStyle w:val="2"/>
        <w:spacing w:after="0" w:line="240" w:lineRule="auto"/>
        <w:ind w:left="0"/>
        <w:jc w:val="both"/>
        <w:rPr>
          <w:sz w:val="28"/>
          <w:szCs w:val="28"/>
          <w:highlight w:val="yellow"/>
        </w:rPr>
      </w:pPr>
    </w:p>
    <w:p w:rsidR="00124A54" w:rsidRPr="005C3659" w:rsidRDefault="00AA40BF" w:rsidP="00667AC4">
      <w:pPr>
        <w:ind w:firstLine="709"/>
        <w:jc w:val="both"/>
        <w:rPr>
          <w:sz w:val="28"/>
          <w:szCs w:val="28"/>
        </w:rPr>
      </w:pPr>
      <w:r w:rsidRPr="005C3659">
        <w:rPr>
          <w:b/>
          <w:sz w:val="28"/>
          <w:szCs w:val="28"/>
        </w:rPr>
        <w:t>Показатель 40. Удельная величина потребления энергетических ресурсов муниципальными бюджетными учреждениями</w:t>
      </w:r>
      <w:r w:rsidRPr="005C3659">
        <w:rPr>
          <w:sz w:val="28"/>
          <w:szCs w:val="28"/>
        </w:rPr>
        <w:t>.</w:t>
      </w:r>
    </w:p>
    <w:p w:rsidR="00BF7FA9" w:rsidRDefault="00383A7E" w:rsidP="00667AC4">
      <w:pPr>
        <w:tabs>
          <w:tab w:val="left" w:pos="426"/>
        </w:tabs>
        <w:spacing w:after="240"/>
        <w:ind w:firstLine="709"/>
        <w:jc w:val="both"/>
        <w:rPr>
          <w:sz w:val="28"/>
          <w:szCs w:val="28"/>
          <w:u w:val="single"/>
        </w:rPr>
      </w:pPr>
      <w:r w:rsidRPr="005C3659">
        <w:rPr>
          <w:sz w:val="28"/>
          <w:szCs w:val="28"/>
          <w:u w:val="single"/>
        </w:rPr>
        <w:t>Электрическая энергия</w:t>
      </w:r>
      <w:r w:rsidR="00BF7FA9" w:rsidRPr="005C3659">
        <w:rPr>
          <w:sz w:val="28"/>
          <w:szCs w:val="28"/>
          <w:u w:val="single"/>
        </w:rPr>
        <w:t xml:space="preserve"> </w:t>
      </w:r>
    </w:p>
    <w:p w:rsidR="005C3659" w:rsidRPr="00E90AF7" w:rsidRDefault="005C3659" w:rsidP="00667AC4">
      <w:pPr>
        <w:shd w:val="clear" w:color="auto" w:fill="FFFFFF"/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 xml:space="preserve">Удельная величина потребления электрической энергии муниципальными бюджетными учреждениями на </w:t>
      </w:r>
      <w:r>
        <w:rPr>
          <w:sz w:val="28"/>
          <w:szCs w:val="28"/>
        </w:rPr>
        <w:t>одного человека населения в 2024</w:t>
      </w:r>
      <w:r w:rsidRPr="00E90AF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планировалось 107,46 кВт/ч., фактическое значение составило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50,7 </w:t>
      </w:r>
      <w:r w:rsidRPr="00E90AF7">
        <w:rPr>
          <w:sz w:val="28"/>
          <w:szCs w:val="28"/>
        </w:rPr>
        <w:t>к</w:t>
      </w:r>
      <w:r>
        <w:rPr>
          <w:sz w:val="28"/>
          <w:szCs w:val="28"/>
        </w:rPr>
        <w:t xml:space="preserve">Вт/ч. Значение показателя в 2023 </w:t>
      </w:r>
      <w:r w:rsidRPr="00E90AF7">
        <w:rPr>
          <w:sz w:val="28"/>
          <w:szCs w:val="28"/>
        </w:rPr>
        <w:t xml:space="preserve">году составило </w:t>
      </w:r>
      <w:r>
        <w:rPr>
          <w:sz w:val="28"/>
          <w:szCs w:val="28"/>
        </w:rPr>
        <w:t>49,15</w:t>
      </w:r>
      <w:r w:rsidRPr="00E90AF7">
        <w:rPr>
          <w:sz w:val="28"/>
          <w:szCs w:val="28"/>
        </w:rPr>
        <w:t xml:space="preserve"> кВт/ч. </w:t>
      </w:r>
      <w:r>
        <w:rPr>
          <w:sz w:val="28"/>
          <w:szCs w:val="28"/>
        </w:rPr>
        <w:t xml:space="preserve">(в 2022 </w:t>
      </w:r>
      <w:r w:rsidRPr="00E90AF7">
        <w:rPr>
          <w:sz w:val="28"/>
          <w:szCs w:val="28"/>
        </w:rPr>
        <w:t xml:space="preserve">году </w:t>
      </w:r>
      <w:r>
        <w:rPr>
          <w:sz w:val="28"/>
          <w:szCs w:val="28"/>
        </w:rPr>
        <w:t>-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50,0 кВт/ч.)</w:t>
      </w:r>
    </w:p>
    <w:p w:rsidR="005C3659" w:rsidRPr="00E90AF7" w:rsidRDefault="005C3659" w:rsidP="00667AC4">
      <w:pPr>
        <w:shd w:val="clear" w:color="auto" w:fill="FFFFFF"/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По отдельным учреждениям наблюдалось увеличение потребления электроэнерги</w:t>
      </w:r>
      <w:r>
        <w:rPr>
          <w:sz w:val="28"/>
          <w:szCs w:val="28"/>
        </w:rPr>
        <w:t>и в связи с приобретением в 2024 году</w:t>
      </w:r>
      <w:r w:rsidRPr="00E90A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новой электротехники</w:t>
      </w:r>
      <w:r w:rsidRPr="00E90AF7">
        <w:rPr>
          <w:sz w:val="28"/>
          <w:szCs w:val="28"/>
        </w:rPr>
        <w:t>.</w:t>
      </w:r>
    </w:p>
    <w:p w:rsidR="005C3659" w:rsidRPr="00E90AF7" w:rsidRDefault="005C3659" w:rsidP="00667AC4">
      <w:pPr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В соответствии с действием Федерального закона от 23.11.2009 № 261 ФЗ «Об энергосбережении и о повышении энергетической эффективности, и о внесении изменений в отдельные законодательные акты Российской Федерации», снижение в сопоста</w:t>
      </w:r>
      <w:r>
        <w:rPr>
          <w:sz w:val="28"/>
          <w:szCs w:val="28"/>
        </w:rPr>
        <w:t>вимых условиях планируемого объё</w:t>
      </w:r>
      <w:r w:rsidRPr="00E90AF7">
        <w:rPr>
          <w:sz w:val="28"/>
          <w:szCs w:val="28"/>
        </w:rPr>
        <w:t xml:space="preserve">ма потребления бюджетными организациями г. </w:t>
      </w:r>
      <w:r w:rsidRPr="00E90AF7">
        <w:rPr>
          <w:sz w:val="28"/>
          <w:szCs w:val="28"/>
        </w:rPr>
        <w:t>Азова электроэнергии в</w:t>
      </w:r>
      <w:r>
        <w:rPr>
          <w:sz w:val="28"/>
          <w:szCs w:val="28"/>
        </w:rPr>
        <w:t xml:space="preserve"> 2025 </w:t>
      </w:r>
      <w:r>
        <w:rPr>
          <w:sz w:val="28"/>
          <w:szCs w:val="28"/>
        </w:rPr>
        <w:lastRenderedPageBreak/>
        <w:t>году, от планируемого объё</w:t>
      </w:r>
      <w:r w:rsidRPr="00E90AF7">
        <w:rPr>
          <w:sz w:val="28"/>
          <w:szCs w:val="28"/>
        </w:rPr>
        <w:t xml:space="preserve">ма </w:t>
      </w:r>
      <w:r w:rsidRPr="00E90AF7">
        <w:rPr>
          <w:sz w:val="28"/>
          <w:szCs w:val="28"/>
        </w:rPr>
        <w:t>потр</w:t>
      </w:r>
      <w:r>
        <w:rPr>
          <w:sz w:val="28"/>
          <w:szCs w:val="28"/>
        </w:rPr>
        <w:t>ебленной электроэнергии в</w:t>
      </w:r>
      <w:r>
        <w:rPr>
          <w:sz w:val="28"/>
          <w:szCs w:val="28"/>
        </w:rPr>
        <w:t xml:space="preserve"> 2024</w:t>
      </w:r>
      <w:r w:rsidRPr="00E90AF7">
        <w:rPr>
          <w:sz w:val="28"/>
          <w:szCs w:val="28"/>
        </w:rPr>
        <w:t xml:space="preserve"> году планируется не менее 3-х%.</w:t>
      </w:r>
    </w:p>
    <w:p w:rsidR="005C3659" w:rsidRPr="00E90AF7" w:rsidRDefault="005C3659" w:rsidP="00667AC4">
      <w:pPr>
        <w:tabs>
          <w:tab w:val="left" w:pos="426"/>
        </w:tabs>
        <w:spacing w:after="240"/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Исключение составляют лимиты на электроэнергию для учреждений, принявшие участие в конкурсных процедурах на заключение энергосервисных контрактов на плановый период (раздел «Образование»).</w:t>
      </w:r>
    </w:p>
    <w:p w:rsidR="005C3659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3659" w:rsidRPr="00E90AF7">
        <w:rPr>
          <w:sz w:val="28"/>
          <w:szCs w:val="28"/>
        </w:rPr>
        <w:t xml:space="preserve">начения показателя «Удельная величина потребления электрической энергии муниципальными бюджетными учреждениями на одного человека населения» </w:t>
      </w:r>
      <w:r w:rsidR="005C3659">
        <w:rPr>
          <w:sz w:val="28"/>
          <w:szCs w:val="28"/>
        </w:rPr>
        <w:t>планируется: в 2025</w:t>
      </w:r>
      <w:r w:rsidR="005C3659" w:rsidRPr="00E90AF7">
        <w:rPr>
          <w:sz w:val="28"/>
          <w:szCs w:val="28"/>
        </w:rPr>
        <w:t xml:space="preserve"> </w:t>
      </w:r>
      <w:r w:rsidR="00A926BC" w:rsidRPr="00E90AF7">
        <w:rPr>
          <w:sz w:val="28"/>
          <w:szCs w:val="28"/>
        </w:rPr>
        <w:t>году –</w:t>
      </w:r>
      <w:r w:rsidR="005C3659" w:rsidRPr="00E90AF7">
        <w:rPr>
          <w:sz w:val="28"/>
          <w:szCs w:val="28"/>
        </w:rPr>
        <w:t xml:space="preserve"> в пределах </w:t>
      </w:r>
      <w:r w:rsidR="005C3659">
        <w:rPr>
          <w:sz w:val="28"/>
          <w:szCs w:val="28"/>
        </w:rPr>
        <w:t>83,15 кВт/ч., в 2026</w:t>
      </w:r>
      <w:r w:rsidR="005C3659" w:rsidRPr="00E90AF7">
        <w:rPr>
          <w:sz w:val="28"/>
          <w:szCs w:val="28"/>
        </w:rPr>
        <w:t xml:space="preserve"> </w:t>
      </w:r>
      <w:r w:rsidR="00A926BC" w:rsidRPr="00E90AF7">
        <w:rPr>
          <w:sz w:val="28"/>
          <w:szCs w:val="28"/>
        </w:rPr>
        <w:t>году –</w:t>
      </w:r>
      <w:r w:rsidR="005C3659" w:rsidRPr="00E90AF7">
        <w:rPr>
          <w:sz w:val="28"/>
          <w:szCs w:val="28"/>
        </w:rPr>
        <w:t xml:space="preserve"> </w:t>
      </w:r>
      <w:r w:rsidR="005C3659">
        <w:rPr>
          <w:sz w:val="28"/>
          <w:szCs w:val="28"/>
        </w:rPr>
        <w:t xml:space="preserve">86,0 кВт/ч., </w:t>
      </w:r>
      <w:r w:rsidR="005C3659" w:rsidRPr="00E90AF7">
        <w:rPr>
          <w:sz w:val="28"/>
          <w:szCs w:val="28"/>
        </w:rPr>
        <w:t>в 202</w:t>
      </w:r>
      <w:r w:rsidR="005C3659">
        <w:rPr>
          <w:sz w:val="28"/>
          <w:szCs w:val="28"/>
        </w:rPr>
        <w:t>7</w:t>
      </w:r>
      <w:r w:rsidR="005C3659" w:rsidRPr="00E90AF7">
        <w:rPr>
          <w:sz w:val="28"/>
          <w:szCs w:val="28"/>
        </w:rPr>
        <w:t xml:space="preserve"> </w:t>
      </w:r>
      <w:r w:rsidR="00A926BC" w:rsidRPr="00E90AF7">
        <w:rPr>
          <w:sz w:val="28"/>
          <w:szCs w:val="28"/>
        </w:rPr>
        <w:t>году –</w:t>
      </w:r>
      <w:r w:rsidR="005C3659" w:rsidRPr="00E90AF7">
        <w:rPr>
          <w:sz w:val="28"/>
          <w:szCs w:val="28"/>
        </w:rPr>
        <w:t xml:space="preserve"> </w:t>
      </w:r>
      <w:r w:rsidR="005C3659">
        <w:rPr>
          <w:sz w:val="28"/>
          <w:szCs w:val="28"/>
        </w:rPr>
        <w:t>84,36</w:t>
      </w:r>
      <w:r w:rsidR="005C3659" w:rsidRPr="00E90AF7">
        <w:rPr>
          <w:sz w:val="28"/>
          <w:szCs w:val="28"/>
        </w:rPr>
        <w:t xml:space="preserve"> кВт/ч.  </w:t>
      </w:r>
    </w:p>
    <w:p w:rsidR="005C3659" w:rsidRPr="00A71B49" w:rsidRDefault="005C3659" w:rsidP="00667AC4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03">
        <w:rPr>
          <w:rFonts w:eastAsia="Calibri"/>
          <w:sz w:val="28"/>
          <w:szCs w:val="28"/>
          <w:lang w:eastAsia="en-US"/>
        </w:rPr>
        <w:t>Рост показателя связан с вводом в эксплуатацию образовательных учреждений</w:t>
      </w:r>
      <w:r>
        <w:rPr>
          <w:rFonts w:eastAsia="Calibri"/>
          <w:sz w:val="28"/>
          <w:szCs w:val="28"/>
          <w:lang w:eastAsia="en-US"/>
        </w:rPr>
        <w:t>, а также с приобретением в 2025</w:t>
      </w:r>
      <w:r w:rsidRPr="00E60C03">
        <w:rPr>
          <w:rFonts w:eastAsia="Calibri"/>
          <w:sz w:val="28"/>
          <w:szCs w:val="28"/>
          <w:lang w:eastAsia="en-US"/>
        </w:rPr>
        <w:t xml:space="preserve"> году новой электротехники.</w:t>
      </w:r>
    </w:p>
    <w:p w:rsidR="007E1172" w:rsidRPr="00A71B49" w:rsidRDefault="00C5421F" w:rsidP="00667AC4">
      <w:pPr>
        <w:tabs>
          <w:tab w:val="left" w:pos="426"/>
        </w:tabs>
        <w:ind w:firstLine="709"/>
        <w:jc w:val="both"/>
        <w:rPr>
          <w:sz w:val="28"/>
          <w:szCs w:val="28"/>
          <w:u w:val="single"/>
        </w:rPr>
      </w:pPr>
      <w:r w:rsidRPr="00A71B49">
        <w:rPr>
          <w:sz w:val="28"/>
          <w:szCs w:val="28"/>
          <w:u w:val="single"/>
        </w:rPr>
        <w:t>Тепловая энергия</w:t>
      </w:r>
    </w:p>
    <w:p w:rsidR="00A71B49" w:rsidRPr="00E90AF7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Удельный вес потребления тепловой энергии муниципальными бюджетными учреждениями Гкал на один квад</w:t>
      </w:r>
      <w:r>
        <w:rPr>
          <w:sz w:val="28"/>
          <w:szCs w:val="28"/>
        </w:rPr>
        <w:t>ратный метр общей площади в 2024</w:t>
      </w:r>
      <w:r w:rsidRPr="00E90AF7">
        <w:rPr>
          <w:sz w:val="28"/>
          <w:szCs w:val="28"/>
        </w:rPr>
        <w:t xml:space="preserve"> планировался </w:t>
      </w:r>
      <w:r>
        <w:rPr>
          <w:sz w:val="28"/>
          <w:szCs w:val="28"/>
        </w:rPr>
        <w:t>0,16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Гкал, фактически составил – 0,15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Гкал, за аналогичный период 2023 </w:t>
      </w:r>
      <w:r>
        <w:rPr>
          <w:sz w:val="28"/>
          <w:szCs w:val="28"/>
        </w:rPr>
        <w:t>показатель –</w:t>
      </w:r>
      <w:r>
        <w:rPr>
          <w:sz w:val="28"/>
          <w:szCs w:val="28"/>
        </w:rPr>
        <w:t xml:space="preserve"> 0,15</w:t>
      </w:r>
      <w:r w:rsidRPr="00E90AF7">
        <w:rPr>
          <w:sz w:val="28"/>
          <w:szCs w:val="28"/>
        </w:rPr>
        <w:t xml:space="preserve"> Гкал.</w:t>
      </w:r>
      <w:r>
        <w:rPr>
          <w:sz w:val="28"/>
          <w:szCs w:val="28"/>
        </w:rPr>
        <w:t xml:space="preserve"> (в </w:t>
      </w:r>
      <w:r>
        <w:rPr>
          <w:sz w:val="28"/>
          <w:szCs w:val="28"/>
        </w:rPr>
        <w:t>2022</w:t>
      </w:r>
      <w:r w:rsidRPr="00E90AF7">
        <w:rPr>
          <w:sz w:val="28"/>
          <w:szCs w:val="28"/>
        </w:rPr>
        <w:t xml:space="preserve"> –</w:t>
      </w:r>
      <w:r w:rsidRPr="00E90AF7">
        <w:rPr>
          <w:sz w:val="28"/>
          <w:szCs w:val="28"/>
        </w:rPr>
        <w:t xml:space="preserve"> 0,14 Гкал.</w:t>
      </w:r>
      <w:r>
        <w:rPr>
          <w:sz w:val="28"/>
          <w:szCs w:val="28"/>
        </w:rPr>
        <w:t>)</w:t>
      </w:r>
    </w:p>
    <w:p w:rsidR="00A71B49" w:rsidRPr="00E90AF7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 xml:space="preserve">При детализации потребления теплоресурсов наблюдалось перераспределение энергоресурсов, в одних случаях достигнута экономия за счет эффективности использования ресурсов, в других – превышение лимитов. </w:t>
      </w:r>
    </w:p>
    <w:p w:rsidR="00A71B49" w:rsidRPr="00E90AF7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При этом следует отметить, что снижение активности в деятельности многих хозяйствующих субъектов, в меньшей степени отразилось на потреблении ими именно теплоресурсов, в отличие от других видов ресурсов, поскольку данная часть расходов направлена на обеспечение жизнеспособности объекта.</w:t>
      </w:r>
    </w:p>
    <w:p w:rsidR="00A71B49" w:rsidRDefault="00A71B49" w:rsidP="00667AC4">
      <w:pPr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Сложившие</w:t>
      </w:r>
      <w:r>
        <w:rPr>
          <w:sz w:val="28"/>
          <w:szCs w:val="28"/>
        </w:rPr>
        <w:t>ся натуральные показатели в 2024</w:t>
      </w:r>
      <w:r w:rsidRPr="00E90AF7">
        <w:rPr>
          <w:sz w:val="28"/>
          <w:szCs w:val="28"/>
        </w:rPr>
        <w:t xml:space="preserve"> году потребления тепловой энергии </w:t>
      </w:r>
      <w:r>
        <w:rPr>
          <w:sz w:val="28"/>
          <w:szCs w:val="28"/>
        </w:rPr>
        <w:t>остаются на уровне аналогичного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 2023</w:t>
      </w:r>
      <w:r w:rsidRPr="00E90AF7">
        <w:rPr>
          <w:sz w:val="28"/>
          <w:szCs w:val="28"/>
        </w:rPr>
        <w:t xml:space="preserve"> года. </w:t>
      </w:r>
    </w:p>
    <w:p w:rsidR="00A71B49" w:rsidRPr="00A71B49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Значения показателя «Удельная величина потребления тепловой энергии муниципальными бюджетными учреждениями на одного человека н</w:t>
      </w:r>
      <w:r>
        <w:rPr>
          <w:sz w:val="28"/>
          <w:szCs w:val="28"/>
        </w:rPr>
        <w:t>аселения» прогнозируется: в 2025 году – 0,16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Гкал/1 кв.м. общей площади, 2026 год – 0,16</w:t>
      </w:r>
      <w:r w:rsidRPr="00E90AF7">
        <w:rPr>
          <w:sz w:val="28"/>
          <w:szCs w:val="28"/>
        </w:rPr>
        <w:t xml:space="preserve"> Г</w:t>
      </w:r>
      <w:r>
        <w:rPr>
          <w:sz w:val="28"/>
          <w:szCs w:val="28"/>
        </w:rPr>
        <w:t>кал/1 кв.м. общей площади и 2027 год – 0,15</w:t>
      </w:r>
      <w:r w:rsidRPr="00E90AF7">
        <w:rPr>
          <w:sz w:val="28"/>
          <w:szCs w:val="28"/>
        </w:rPr>
        <w:t xml:space="preserve"> Гкал/1 кв.м. общей площади.</w:t>
      </w:r>
    </w:p>
    <w:p w:rsidR="006D4E0F" w:rsidRDefault="006A141F" w:rsidP="00667AC4">
      <w:pPr>
        <w:tabs>
          <w:tab w:val="left" w:pos="426"/>
        </w:tabs>
        <w:ind w:firstLine="709"/>
        <w:jc w:val="both"/>
        <w:rPr>
          <w:sz w:val="28"/>
          <w:szCs w:val="28"/>
          <w:u w:val="single"/>
        </w:rPr>
      </w:pPr>
      <w:r w:rsidRPr="00A71B49">
        <w:rPr>
          <w:sz w:val="28"/>
          <w:szCs w:val="28"/>
          <w:u w:val="single"/>
        </w:rPr>
        <w:t>Горячая вода</w:t>
      </w:r>
    </w:p>
    <w:p w:rsidR="00A71B49" w:rsidRPr="00E90AF7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Централизованной подачи горячей воды в бюджетные учреждения города Азова не производится. Подогрев воды осуществляется бюджетными учреждениями самостоятельно. Потребность муниципальных бюджетных учреждений в</w:t>
      </w:r>
      <w:r>
        <w:rPr>
          <w:sz w:val="28"/>
          <w:szCs w:val="28"/>
        </w:rPr>
        <w:t xml:space="preserve"> потреблении горячей воды в 2024</w:t>
      </w:r>
      <w:r w:rsidRPr="00E90AF7">
        <w:rPr>
          <w:sz w:val="28"/>
          <w:szCs w:val="28"/>
        </w:rPr>
        <w:t xml:space="preserve"> году планировалось 0 куб. метров на 1 человека населения, фактически составило 0 куб. метров на 1 человека, показатель достигнут.</w:t>
      </w:r>
    </w:p>
    <w:p w:rsidR="00A71B49" w:rsidRPr="00A71B49" w:rsidRDefault="00A71B49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Значение показателя «Удельная величина потребления горячей воды муниципальными бюджетными учреждениями на о</w:t>
      </w:r>
      <w:r>
        <w:rPr>
          <w:sz w:val="28"/>
          <w:szCs w:val="28"/>
        </w:rPr>
        <w:t>дного человека населения» в 2025-2027</w:t>
      </w:r>
      <w:r w:rsidRPr="00E90AF7">
        <w:rPr>
          <w:sz w:val="28"/>
          <w:szCs w:val="28"/>
        </w:rPr>
        <w:t xml:space="preserve"> годах не запланировано.</w:t>
      </w:r>
    </w:p>
    <w:p w:rsidR="006A141F" w:rsidRDefault="006A141F" w:rsidP="00667AC4">
      <w:pPr>
        <w:tabs>
          <w:tab w:val="left" w:pos="426"/>
        </w:tabs>
        <w:ind w:firstLine="709"/>
        <w:jc w:val="both"/>
        <w:rPr>
          <w:sz w:val="28"/>
          <w:szCs w:val="28"/>
          <w:u w:val="single"/>
        </w:rPr>
      </w:pPr>
      <w:r w:rsidRPr="00A71B49">
        <w:rPr>
          <w:sz w:val="28"/>
          <w:szCs w:val="28"/>
          <w:u w:val="single"/>
        </w:rPr>
        <w:t>Холодная вода</w:t>
      </w:r>
    </w:p>
    <w:p w:rsidR="00A926BC" w:rsidRPr="00E90AF7" w:rsidRDefault="00A926BC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Удельная величина потребления (водоснабжение, водоотведение) воды муниципальными бюджетными учреждени</w:t>
      </w:r>
      <w:r>
        <w:rPr>
          <w:sz w:val="28"/>
          <w:szCs w:val="28"/>
        </w:rPr>
        <w:t>ями на 1 человека населения 2024</w:t>
      </w:r>
      <w:r w:rsidRPr="00E90AF7">
        <w:rPr>
          <w:sz w:val="28"/>
          <w:szCs w:val="28"/>
        </w:rPr>
        <w:t xml:space="preserve"> </w:t>
      </w:r>
      <w:r w:rsidRPr="00E90AF7">
        <w:rPr>
          <w:sz w:val="28"/>
          <w:szCs w:val="28"/>
        </w:rPr>
        <w:lastRenderedPageBreak/>
        <w:t xml:space="preserve">году планировалась в пределах </w:t>
      </w:r>
      <w:r>
        <w:rPr>
          <w:sz w:val="28"/>
          <w:szCs w:val="28"/>
        </w:rPr>
        <w:t>2,79</w:t>
      </w:r>
      <w:r w:rsidRPr="00E90AF7">
        <w:rPr>
          <w:sz w:val="28"/>
          <w:szCs w:val="28"/>
        </w:rPr>
        <w:t xml:space="preserve"> куб. метров на 1 человека населения, фактически составило </w:t>
      </w:r>
      <w:r>
        <w:rPr>
          <w:sz w:val="28"/>
          <w:szCs w:val="28"/>
        </w:rPr>
        <w:t xml:space="preserve">1,68 </w:t>
      </w:r>
      <w:r w:rsidRPr="00E90AF7">
        <w:rPr>
          <w:sz w:val="28"/>
          <w:szCs w:val="28"/>
        </w:rPr>
        <w:t>куб. метров на 1 человека насел</w:t>
      </w:r>
      <w:r>
        <w:rPr>
          <w:sz w:val="28"/>
          <w:szCs w:val="28"/>
        </w:rPr>
        <w:t>ения, в аналогичном периоде 2023</w:t>
      </w:r>
      <w:r w:rsidRPr="00E90AF7">
        <w:rPr>
          <w:sz w:val="28"/>
          <w:szCs w:val="28"/>
        </w:rPr>
        <w:t xml:space="preserve"> года составил – </w:t>
      </w:r>
      <w:r>
        <w:rPr>
          <w:sz w:val="28"/>
          <w:szCs w:val="28"/>
        </w:rPr>
        <w:t>2,21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куб.м. на 1 чел. населения (в 2022 году</w:t>
      </w:r>
      <w:r w:rsidRPr="00E90AF7">
        <w:rPr>
          <w:sz w:val="28"/>
          <w:szCs w:val="28"/>
        </w:rPr>
        <w:t xml:space="preserve">– </w:t>
      </w:r>
      <w:r>
        <w:rPr>
          <w:sz w:val="28"/>
          <w:szCs w:val="28"/>
        </w:rPr>
        <w:t>1,98</w:t>
      </w:r>
      <w:r w:rsidRPr="00E90AF7">
        <w:rPr>
          <w:sz w:val="28"/>
          <w:szCs w:val="28"/>
        </w:rPr>
        <w:t xml:space="preserve"> </w:t>
      </w:r>
      <w:r>
        <w:rPr>
          <w:sz w:val="28"/>
          <w:szCs w:val="28"/>
        </w:rPr>
        <w:t>куб.м. на 1 чел. населения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1B49" w:rsidRPr="00A926BC" w:rsidRDefault="00A926BC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Значения показателя «Удельная величина потребления холодной воды муниципальными бюджетными учреждениями на одного человека населени</w:t>
      </w:r>
      <w:r>
        <w:rPr>
          <w:sz w:val="28"/>
          <w:szCs w:val="28"/>
        </w:rPr>
        <w:t>я» в 2025 – 2027</w:t>
      </w:r>
      <w:r w:rsidRPr="00E90AF7">
        <w:rPr>
          <w:sz w:val="28"/>
          <w:szCs w:val="28"/>
        </w:rPr>
        <w:t xml:space="preserve"> годах прогнозируется</w:t>
      </w:r>
      <w:r>
        <w:rPr>
          <w:sz w:val="28"/>
          <w:szCs w:val="28"/>
        </w:rPr>
        <w:t>– 2,</w:t>
      </w:r>
      <w:r w:rsidRPr="00E90AF7">
        <w:rPr>
          <w:sz w:val="28"/>
          <w:szCs w:val="28"/>
        </w:rPr>
        <w:t>7</w:t>
      </w:r>
      <w:r>
        <w:rPr>
          <w:sz w:val="28"/>
          <w:szCs w:val="28"/>
        </w:rPr>
        <w:t xml:space="preserve">9 куб.м. на 1 </w:t>
      </w:r>
      <w:r w:rsidR="0031488A">
        <w:rPr>
          <w:sz w:val="28"/>
          <w:szCs w:val="28"/>
        </w:rPr>
        <w:t>чел.</w:t>
      </w:r>
      <w:r>
        <w:rPr>
          <w:sz w:val="28"/>
          <w:szCs w:val="28"/>
        </w:rPr>
        <w:t xml:space="preserve"> населения.</w:t>
      </w:r>
    </w:p>
    <w:p w:rsidR="006A141F" w:rsidRDefault="006A141F" w:rsidP="00667AC4">
      <w:pPr>
        <w:tabs>
          <w:tab w:val="left" w:pos="426"/>
        </w:tabs>
        <w:ind w:firstLine="709"/>
        <w:jc w:val="both"/>
        <w:rPr>
          <w:sz w:val="28"/>
          <w:szCs w:val="28"/>
          <w:u w:val="single"/>
        </w:rPr>
      </w:pPr>
      <w:r w:rsidRPr="00A926BC">
        <w:rPr>
          <w:sz w:val="28"/>
          <w:szCs w:val="28"/>
          <w:u w:val="single"/>
        </w:rPr>
        <w:t>Природный газ</w:t>
      </w:r>
    </w:p>
    <w:p w:rsidR="0031488A" w:rsidRPr="00E90AF7" w:rsidRDefault="0031488A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 xml:space="preserve">Удельная величина потребления природного газа муниципальными бюджетными учреждениями на </w:t>
      </w:r>
      <w:r>
        <w:rPr>
          <w:sz w:val="28"/>
          <w:szCs w:val="28"/>
        </w:rPr>
        <w:t>одного человека населения в 2024</w:t>
      </w:r>
      <w:r w:rsidRPr="00E90AF7">
        <w:rPr>
          <w:sz w:val="28"/>
          <w:szCs w:val="28"/>
        </w:rPr>
        <w:t xml:space="preserve"> году показатель планировался </w:t>
      </w:r>
      <w:r>
        <w:rPr>
          <w:sz w:val="28"/>
          <w:szCs w:val="28"/>
        </w:rPr>
        <w:t>18,04</w:t>
      </w:r>
      <w:r w:rsidRPr="00E90AF7">
        <w:rPr>
          <w:sz w:val="28"/>
          <w:szCs w:val="28"/>
        </w:rPr>
        <w:t xml:space="preserve"> куб</w:t>
      </w:r>
      <w:r w:rsidRPr="00E90AF7">
        <w:rPr>
          <w:color w:val="000000"/>
          <w:sz w:val="28"/>
          <w:szCs w:val="28"/>
        </w:rPr>
        <w:t>.</w:t>
      </w:r>
      <w:r w:rsidRPr="00E90AF7">
        <w:rPr>
          <w:sz w:val="28"/>
          <w:szCs w:val="28"/>
        </w:rPr>
        <w:t xml:space="preserve"> метров на 1 человека населения, фактически составил </w:t>
      </w:r>
      <w:r>
        <w:rPr>
          <w:sz w:val="28"/>
          <w:szCs w:val="28"/>
        </w:rPr>
        <w:t>2,</w:t>
      </w:r>
      <w:r>
        <w:rPr>
          <w:sz w:val="28"/>
          <w:szCs w:val="28"/>
        </w:rPr>
        <w:t>85</w:t>
      </w:r>
      <w:r w:rsidRPr="00E90AF7">
        <w:rPr>
          <w:sz w:val="28"/>
          <w:szCs w:val="28"/>
        </w:rPr>
        <w:t xml:space="preserve"> куб.</w:t>
      </w:r>
      <w:r>
        <w:rPr>
          <w:sz w:val="28"/>
          <w:szCs w:val="28"/>
        </w:rPr>
        <w:t xml:space="preserve"> метров на 1 человека населения, за аналогичный период 2023 года показатель составил </w:t>
      </w:r>
      <w:r w:rsidRPr="00C372C7">
        <w:rPr>
          <w:sz w:val="28"/>
          <w:szCs w:val="28"/>
        </w:rPr>
        <w:t>3,</w:t>
      </w:r>
      <w:r w:rsidRPr="00C372C7">
        <w:rPr>
          <w:sz w:val="28"/>
          <w:szCs w:val="28"/>
        </w:rPr>
        <w:t>61 куб.</w:t>
      </w:r>
      <w:r>
        <w:rPr>
          <w:sz w:val="28"/>
          <w:szCs w:val="28"/>
        </w:rPr>
        <w:t xml:space="preserve"> метров на 1 человека населения (в 2022 году - 4,</w:t>
      </w:r>
      <w:r w:rsidRPr="00D67D94">
        <w:rPr>
          <w:sz w:val="28"/>
          <w:szCs w:val="28"/>
        </w:rPr>
        <w:t>6 куб.</w:t>
      </w:r>
      <w:r w:rsidRPr="00D67D94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метров на 1 человека населения).</w:t>
      </w:r>
    </w:p>
    <w:p w:rsidR="0031488A" w:rsidRDefault="0031488A" w:rsidP="00667AC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90AF7">
        <w:rPr>
          <w:sz w:val="28"/>
          <w:szCs w:val="28"/>
        </w:rPr>
        <w:t>Значения показателя «Удельная величина потребления природного газа муниципальными бюджетными учреждениями на одного человека</w:t>
      </w:r>
      <w:r>
        <w:rPr>
          <w:sz w:val="28"/>
          <w:szCs w:val="28"/>
        </w:rPr>
        <w:t xml:space="preserve"> населения» прогнозируется: 2025</w:t>
      </w:r>
      <w:r w:rsidRPr="00E90AF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12,45</w:t>
      </w:r>
      <w:r w:rsidRPr="00E90AF7">
        <w:rPr>
          <w:sz w:val="28"/>
          <w:szCs w:val="28"/>
        </w:rPr>
        <w:t xml:space="preserve"> куб. метр</w:t>
      </w:r>
      <w:r>
        <w:rPr>
          <w:sz w:val="28"/>
          <w:szCs w:val="28"/>
        </w:rPr>
        <w:t>ов на 1 человека населения, 2026</w:t>
      </w:r>
      <w:r w:rsidRPr="00E90AF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21,83 куб. метров и 2027</w:t>
      </w:r>
      <w:r w:rsidRPr="00E90AF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21,17</w:t>
      </w:r>
      <w:r w:rsidRPr="00E90AF7">
        <w:rPr>
          <w:sz w:val="28"/>
          <w:szCs w:val="28"/>
        </w:rPr>
        <w:t xml:space="preserve"> куб. метров</w:t>
      </w:r>
      <w:r>
        <w:rPr>
          <w:sz w:val="28"/>
          <w:szCs w:val="28"/>
        </w:rPr>
        <w:t>.</w:t>
      </w:r>
    </w:p>
    <w:p w:rsidR="0031488A" w:rsidRPr="00350429" w:rsidRDefault="0031488A" w:rsidP="00667AC4">
      <w:pPr>
        <w:tabs>
          <w:tab w:val="left" w:pos="720"/>
          <w:tab w:val="left" w:pos="2736"/>
          <w:tab w:val="left" w:pos="504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429">
        <w:rPr>
          <w:rFonts w:eastAsia="Calibri"/>
          <w:sz w:val="28"/>
          <w:szCs w:val="28"/>
          <w:lang w:eastAsia="en-US"/>
        </w:rPr>
        <w:t>Рост показателя связан с вводом в эксплуатацию и газификацией образовательных учреждений, и увеличения лимитов потребления природного газа для МАУ г.Азова «СК им. Э.П. Лакомова».</w:t>
      </w:r>
    </w:p>
    <w:p w:rsidR="00A926BC" w:rsidRPr="00A926BC" w:rsidRDefault="00A926BC" w:rsidP="00667AC4">
      <w:pPr>
        <w:tabs>
          <w:tab w:val="left" w:pos="426"/>
        </w:tabs>
        <w:jc w:val="both"/>
        <w:rPr>
          <w:sz w:val="28"/>
          <w:szCs w:val="28"/>
          <w:u w:val="single"/>
        </w:rPr>
      </w:pPr>
    </w:p>
    <w:p w:rsidR="008F616C" w:rsidRPr="000C2F33" w:rsidRDefault="008F616C" w:rsidP="00667AC4">
      <w:pPr>
        <w:ind w:firstLine="709"/>
        <w:jc w:val="both"/>
        <w:rPr>
          <w:sz w:val="28"/>
          <w:szCs w:val="28"/>
        </w:rPr>
      </w:pPr>
    </w:p>
    <w:sectPr w:rsidR="008F616C" w:rsidRPr="000C2F33" w:rsidSect="00043B6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F2" w:rsidRDefault="006A0FF2" w:rsidP="009D56C5">
      <w:r>
        <w:separator/>
      </w:r>
    </w:p>
  </w:endnote>
  <w:endnote w:type="continuationSeparator" w:id="0">
    <w:p w:rsidR="006A0FF2" w:rsidRDefault="006A0FF2" w:rsidP="009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F2" w:rsidRDefault="006A0FF2" w:rsidP="009D56C5">
      <w:r>
        <w:separator/>
      </w:r>
    </w:p>
  </w:footnote>
  <w:footnote w:type="continuationSeparator" w:id="0">
    <w:p w:rsidR="006A0FF2" w:rsidRDefault="006A0FF2" w:rsidP="009D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643E"/>
    <w:multiLevelType w:val="hybridMultilevel"/>
    <w:tmpl w:val="C02A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C61F3"/>
    <w:multiLevelType w:val="hybridMultilevel"/>
    <w:tmpl w:val="0C1847C4"/>
    <w:lvl w:ilvl="0" w:tplc="7BAE49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330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C1A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6DA2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AD2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A4B5A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669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02DE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4F3C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A593F"/>
    <w:multiLevelType w:val="hybridMultilevel"/>
    <w:tmpl w:val="1A266AA8"/>
    <w:lvl w:ilvl="0" w:tplc="4BEC2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4D6E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65BF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4FB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84D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A8F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2624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8095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6867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D00EEF"/>
    <w:multiLevelType w:val="hybridMultilevel"/>
    <w:tmpl w:val="58121DDC"/>
    <w:lvl w:ilvl="0" w:tplc="C5D87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C11B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E38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9CC54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4B6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8C41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69AD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2B1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0FB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78611F"/>
    <w:multiLevelType w:val="hybridMultilevel"/>
    <w:tmpl w:val="70BE8BD0"/>
    <w:lvl w:ilvl="0" w:tplc="454843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192E5A"/>
    <w:multiLevelType w:val="hybridMultilevel"/>
    <w:tmpl w:val="F552E5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B46F3"/>
    <w:multiLevelType w:val="hybridMultilevel"/>
    <w:tmpl w:val="51F69D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653BB"/>
    <w:multiLevelType w:val="hybridMultilevel"/>
    <w:tmpl w:val="EF9007EC"/>
    <w:lvl w:ilvl="0" w:tplc="2D463F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85B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64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EA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60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6B5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E9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642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49F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8F76DA"/>
    <w:multiLevelType w:val="hybridMultilevel"/>
    <w:tmpl w:val="244CB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BF"/>
    <w:rsid w:val="00000493"/>
    <w:rsid w:val="00002B2B"/>
    <w:rsid w:val="00004102"/>
    <w:rsid w:val="00023A66"/>
    <w:rsid w:val="00024C7C"/>
    <w:rsid w:val="00027E43"/>
    <w:rsid w:val="00030CEA"/>
    <w:rsid w:val="00033D9E"/>
    <w:rsid w:val="00037B2A"/>
    <w:rsid w:val="00041028"/>
    <w:rsid w:val="00043B67"/>
    <w:rsid w:val="00046961"/>
    <w:rsid w:val="00051F07"/>
    <w:rsid w:val="00055264"/>
    <w:rsid w:val="000666AA"/>
    <w:rsid w:val="00067B16"/>
    <w:rsid w:val="000773FD"/>
    <w:rsid w:val="00082665"/>
    <w:rsid w:val="000835BE"/>
    <w:rsid w:val="00083B1B"/>
    <w:rsid w:val="0008769B"/>
    <w:rsid w:val="00097CCC"/>
    <w:rsid w:val="000A0895"/>
    <w:rsid w:val="000A2158"/>
    <w:rsid w:val="000A27DA"/>
    <w:rsid w:val="000A53CA"/>
    <w:rsid w:val="000A64DB"/>
    <w:rsid w:val="000A7A8A"/>
    <w:rsid w:val="000B3D64"/>
    <w:rsid w:val="000C0BC2"/>
    <w:rsid w:val="000C2F33"/>
    <w:rsid w:val="000C308F"/>
    <w:rsid w:val="000C66B8"/>
    <w:rsid w:val="000D07AC"/>
    <w:rsid w:val="000D76AC"/>
    <w:rsid w:val="000E30BD"/>
    <w:rsid w:val="000E30F4"/>
    <w:rsid w:val="000E496C"/>
    <w:rsid w:val="000F1B72"/>
    <w:rsid w:val="000F687B"/>
    <w:rsid w:val="000F69AA"/>
    <w:rsid w:val="000F757A"/>
    <w:rsid w:val="00101D6A"/>
    <w:rsid w:val="0010273D"/>
    <w:rsid w:val="00114CF6"/>
    <w:rsid w:val="00120704"/>
    <w:rsid w:val="00120845"/>
    <w:rsid w:val="0012101E"/>
    <w:rsid w:val="00124A54"/>
    <w:rsid w:val="00140829"/>
    <w:rsid w:val="0014249C"/>
    <w:rsid w:val="00152FCD"/>
    <w:rsid w:val="001534A6"/>
    <w:rsid w:val="00164637"/>
    <w:rsid w:val="00171CAD"/>
    <w:rsid w:val="001742D5"/>
    <w:rsid w:val="00175B94"/>
    <w:rsid w:val="00183544"/>
    <w:rsid w:val="00184A02"/>
    <w:rsid w:val="00190835"/>
    <w:rsid w:val="00191978"/>
    <w:rsid w:val="001A63E3"/>
    <w:rsid w:val="001B1A72"/>
    <w:rsid w:val="001B2995"/>
    <w:rsid w:val="001B4CFD"/>
    <w:rsid w:val="001B5750"/>
    <w:rsid w:val="001B586B"/>
    <w:rsid w:val="001C0F2D"/>
    <w:rsid w:val="001C67F7"/>
    <w:rsid w:val="001D19CB"/>
    <w:rsid w:val="001E10C7"/>
    <w:rsid w:val="001E78DF"/>
    <w:rsid w:val="001F48E3"/>
    <w:rsid w:val="001F73C1"/>
    <w:rsid w:val="00200BE4"/>
    <w:rsid w:val="002015A0"/>
    <w:rsid w:val="002055CB"/>
    <w:rsid w:val="00214203"/>
    <w:rsid w:val="002163E8"/>
    <w:rsid w:val="00220BC3"/>
    <w:rsid w:val="0023331D"/>
    <w:rsid w:val="00235D08"/>
    <w:rsid w:val="002454F9"/>
    <w:rsid w:val="00252F5B"/>
    <w:rsid w:val="00255F3C"/>
    <w:rsid w:val="0025604A"/>
    <w:rsid w:val="00260301"/>
    <w:rsid w:val="00267775"/>
    <w:rsid w:val="0027774D"/>
    <w:rsid w:val="00294E85"/>
    <w:rsid w:val="002A1F90"/>
    <w:rsid w:val="002A4CC3"/>
    <w:rsid w:val="002A6C53"/>
    <w:rsid w:val="002B142E"/>
    <w:rsid w:val="002B38F2"/>
    <w:rsid w:val="002B6E8E"/>
    <w:rsid w:val="002D6B15"/>
    <w:rsid w:val="002E2C57"/>
    <w:rsid w:val="002E38CE"/>
    <w:rsid w:val="002F3EB5"/>
    <w:rsid w:val="00303CED"/>
    <w:rsid w:val="00304B92"/>
    <w:rsid w:val="00305082"/>
    <w:rsid w:val="0030697C"/>
    <w:rsid w:val="00310342"/>
    <w:rsid w:val="00311160"/>
    <w:rsid w:val="003115E5"/>
    <w:rsid w:val="00313B41"/>
    <w:rsid w:val="0031488A"/>
    <w:rsid w:val="003206B9"/>
    <w:rsid w:val="00330011"/>
    <w:rsid w:val="00332C7A"/>
    <w:rsid w:val="00334201"/>
    <w:rsid w:val="003342DE"/>
    <w:rsid w:val="003359A7"/>
    <w:rsid w:val="00336932"/>
    <w:rsid w:val="00350621"/>
    <w:rsid w:val="003512EA"/>
    <w:rsid w:val="0035197F"/>
    <w:rsid w:val="0035788D"/>
    <w:rsid w:val="00360318"/>
    <w:rsid w:val="00360BD6"/>
    <w:rsid w:val="0036125E"/>
    <w:rsid w:val="00366CA1"/>
    <w:rsid w:val="00374EFF"/>
    <w:rsid w:val="003756C9"/>
    <w:rsid w:val="00380B7C"/>
    <w:rsid w:val="00380BFD"/>
    <w:rsid w:val="00382884"/>
    <w:rsid w:val="003829BA"/>
    <w:rsid w:val="00383A7E"/>
    <w:rsid w:val="003921BB"/>
    <w:rsid w:val="00392DB4"/>
    <w:rsid w:val="00394B89"/>
    <w:rsid w:val="003B3D36"/>
    <w:rsid w:val="003B5CCE"/>
    <w:rsid w:val="003B78CA"/>
    <w:rsid w:val="003C2809"/>
    <w:rsid w:val="003C2EE8"/>
    <w:rsid w:val="003C337C"/>
    <w:rsid w:val="003C4EF9"/>
    <w:rsid w:val="003C6415"/>
    <w:rsid w:val="003D0F72"/>
    <w:rsid w:val="003D1F39"/>
    <w:rsid w:val="003D5FC0"/>
    <w:rsid w:val="003E4C92"/>
    <w:rsid w:val="003E5575"/>
    <w:rsid w:val="003E7024"/>
    <w:rsid w:val="003F04CB"/>
    <w:rsid w:val="003F0A78"/>
    <w:rsid w:val="003F44A7"/>
    <w:rsid w:val="003F5713"/>
    <w:rsid w:val="0041359A"/>
    <w:rsid w:val="004230CD"/>
    <w:rsid w:val="0042584B"/>
    <w:rsid w:val="00427664"/>
    <w:rsid w:val="004564B8"/>
    <w:rsid w:val="0045788E"/>
    <w:rsid w:val="004621E1"/>
    <w:rsid w:val="00463CCF"/>
    <w:rsid w:val="004670AD"/>
    <w:rsid w:val="00486C5B"/>
    <w:rsid w:val="004978C5"/>
    <w:rsid w:val="004A4A76"/>
    <w:rsid w:val="004A67D9"/>
    <w:rsid w:val="004B034F"/>
    <w:rsid w:val="004B5FAC"/>
    <w:rsid w:val="004F0A7F"/>
    <w:rsid w:val="004F2E46"/>
    <w:rsid w:val="004F2FC0"/>
    <w:rsid w:val="004F3D38"/>
    <w:rsid w:val="00500E92"/>
    <w:rsid w:val="00521559"/>
    <w:rsid w:val="005217E7"/>
    <w:rsid w:val="00522823"/>
    <w:rsid w:val="00523CC7"/>
    <w:rsid w:val="00544612"/>
    <w:rsid w:val="0054778F"/>
    <w:rsid w:val="0055277D"/>
    <w:rsid w:val="00563166"/>
    <w:rsid w:val="00564B48"/>
    <w:rsid w:val="00565711"/>
    <w:rsid w:val="0057172D"/>
    <w:rsid w:val="00573F6A"/>
    <w:rsid w:val="00581048"/>
    <w:rsid w:val="00581B48"/>
    <w:rsid w:val="00585DD4"/>
    <w:rsid w:val="00586DEE"/>
    <w:rsid w:val="0058739B"/>
    <w:rsid w:val="00590461"/>
    <w:rsid w:val="005961D2"/>
    <w:rsid w:val="005966A4"/>
    <w:rsid w:val="005B54E2"/>
    <w:rsid w:val="005B6A5F"/>
    <w:rsid w:val="005C3659"/>
    <w:rsid w:val="005C4860"/>
    <w:rsid w:val="005D6125"/>
    <w:rsid w:val="005E4F36"/>
    <w:rsid w:val="005E7352"/>
    <w:rsid w:val="005F2045"/>
    <w:rsid w:val="005F3881"/>
    <w:rsid w:val="006041FD"/>
    <w:rsid w:val="00604BE8"/>
    <w:rsid w:val="00607F05"/>
    <w:rsid w:val="00612005"/>
    <w:rsid w:val="006168AA"/>
    <w:rsid w:val="00617060"/>
    <w:rsid w:val="0061715C"/>
    <w:rsid w:val="00617E77"/>
    <w:rsid w:val="00623A74"/>
    <w:rsid w:val="00623DAE"/>
    <w:rsid w:val="00630A16"/>
    <w:rsid w:val="00635AC1"/>
    <w:rsid w:val="00641BBB"/>
    <w:rsid w:val="0066177B"/>
    <w:rsid w:val="0066265B"/>
    <w:rsid w:val="0066639D"/>
    <w:rsid w:val="00667116"/>
    <w:rsid w:val="00667AC4"/>
    <w:rsid w:val="00672C2B"/>
    <w:rsid w:val="00677EC3"/>
    <w:rsid w:val="00682832"/>
    <w:rsid w:val="00683819"/>
    <w:rsid w:val="006840C0"/>
    <w:rsid w:val="00690879"/>
    <w:rsid w:val="00691B46"/>
    <w:rsid w:val="006939E1"/>
    <w:rsid w:val="00696D62"/>
    <w:rsid w:val="006A0FF2"/>
    <w:rsid w:val="006A141F"/>
    <w:rsid w:val="006B107B"/>
    <w:rsid w:val="006B525F"/>
    <w:rsid w:val="006C3361"/>
    <w:rsid w:val="006C3FCF"/>
    <w:rsid w:val="006C7D1F"/>
    <w:rsid w:val="006D4E0F"/>
    <w:rsid w:val="006D5601"/>
    <w:rsid w:val="006E06E6"/>
    <w:rsid w:val="006E20AA"/>
    <w:rsid w:val="006E620C"/>
    <w:rsid w:val="006F1B31"/>
    <w:rsid w:val="00712227"/>
    <w:rsid w:val="00713300"/>
    <w:rsid w:val="0071403F"/>
    <w:rsid w:val="00715935"/>
    <w:rsid w:val="00722C69"/>
    <w:rsid w:val="007278AD"/>
    <w:rsid w:val="00730E4E"/>
    <w:rsid w:val="0073261C"/>
    <w:rsid w:val="00734638"/>
    <w:rsid w:val="00735676"/>
    <w:rsid w:val="00737425"/>
    <w:rsid w:val="007425B5"/>
    <w:rsid w:val="0075143C"/>
    <w:rsid w:val="00752DF3"/>
    <w:rsid w:val="00761E19"/>
    <w:rsid w:val="007630F1"/>
    <w:rsid w:val="0076423B"/>
    <w:rsid w:val="00783649"/>
    <w:rsid w:val="00784953"/>
    <w:rsid w:val="00785C71"/>
    <w:rsid w:val="00791A0E"/>
    <w:rsid w:val="007A68BB"/>
    <w:rsid w:val="007B3EC7"/>
    <w:rsid w:val="007B45C8"/>
    <w:rsid w:val="007B46DA"/>
    <w:rsid w:val="007B7E28"/>
    <w:rsid w:val="007D5629"/>
    <w:rsid w:val="007E02B7"/>
    <w:rsid w:val="007E1172"/>
    <w:rsid w:val="007F1E12"/>
    <w:rsid w:val="007F4EE4"/>
    <w:rsid w:val="007F6F51"/>
    <w:rsid w:val="007F73EE"/>
    <w:rsid w:val="008001F6"/>
    <w:rsid w:val="00800918"/>
    <w:rsid w:val="0080227B"/>
    <w:rsid w:val="00814564"/>
    <w:rsid w:val="00830363"/>
    <w:rsid w:val="00832F3B"/>
    <w:rsid w:val="00837F8C"/>
    <w:rsid w:val="008412F7"/>
    <w:rsid w:val="0085077D"/>
    <w:rsid w:val="00863D85"/>
    <w:rsid w:val="00865468"/>
    <w:rsid w:val="0087084C"/>
    <w:rsid w:val="00872429"/>
    <w:rsid w:val="00882E46"/>
    <w:rsid w:val="00894C71"/>
    <w:rsid w:val="008A1652"/>
    <w:rsid w:val="008A1AFC"/>
    <w:rsid w:val="008A2F00"/>
    <w:rsid w:val="008A70DF"/>
    <w:rsid w:val="008B4E4B"/>
    <w:rsid w:val="008B537E"/>
    <w:rsid w:val="008C005D"/>
    <w:rsid w:val="008D2672"/>
    <w:rsid w:val="008D4D9F"/>
    <w:rsid w:val="008E120B"/>
    <w:rsid w:val="008F616C"/>
    <w:rsid w:val="00904B49"/>
    <w:rsid w:val="0090692B"/>
    <w:rsid w:val="00932D22"/>
    <w:rsid w:val="00942404"/>
    <w:rsid w:val="00942799"/>
    <w:rsid w:val="00945437"/>
    <w:rsid w:val="0094564F"/>
    <w:rsid w:val="00947D6C"/>
    <w:rsid w:val="00956246"/>
    <w:rsid w:val="00956844"/>
    <w:rsid w:val="00957B53"/>
    <w:rsid w:val="009636E0"/>
    <w:rsid w:val="00967D19"/>
    <w:rsid w:val="00973EA0"/>
    <w:rsid w:val="00974928"/>
    <w:rsid w:val="00981320"/>
    <w:rsid w:val="009869F7"/>
    <w:rsid w:val="009A02CD"/>
    <w:rsid w:val="009A2858"/>
    <w:rsid w:val="009A5277"/>
    <w:rsid w:val="009B5807"/>
    <w:rsid w:val="009B7232"/>
    <w:rsid w:val="009C1CCE"/>
    <w:rsid w:val="009C1F9C"/>
    <w:rsid w:val="009C4218"/>
    <w:rsid w:val="009D1181"/>
    <w:rsid w:val="009D55AC"/>
    <w:rsid w:val="009D56C5"/>
    <w:rsid w:val="009D58C8"/>
    <w:rsid w:val="009E226E"/>
    <w:rsid w:val="00A04151"/>
    <w:rsid w:val="00A13C5F"/>
    <w:rsid w:val="00A15DE1"/>
    <w:rsid w:val="00A171F0"/>
    <w:rsid w:val="00A220B2"/>
    <w:rsid w:val="00A30811"/>
    <w:rsid w:val="00A32257"/>
    <w:rsid w:val="00A32479"/>
    <w:rsid w:val="00A3266E"/>
    <w:rsid w:val="00A33C93"/>
    <w:rsid w:val="00A34CFF"/>
    <w:rsid w:val="00A37A2B"/>
    <w:rsid w:val="00A43399"/>
    <w:rsid w:val="00A45E54"/>
    <w:rsid w:val="00A5409E"/>
    <w:rsid w:val="00A603AE"/>
    <w:rsid w:val="00A619C2"/>
    <w:rsid w:val="00A62FAE"/>
    <w:rsid w:val="00A64144"/>
    <w:rsid w:val="00A71B49"/>
    <w:rsid w:val="00A73FDA"/>
    <w:rsid w:val="00A802DB"/>
    <w:rsid w:val="00A83623"/>
    <w:rsid w:val="00A926BC"/>
    <w:rsid w:val="00A95E0F"/>
    <w:rsid w:val="00AA40BF"/>
    <w:rsid w:val="00AA5FC6"/>
    <w:rsid w:val="00AB3A6E"/>
    <w:rsid w:val="00AB6403"/>
    <w:rsid w:val="00AE6345"/>
    <w:rsid w:val="00AF6D58"/>
    <w:rsid w:val="00AF7EC2"/>
    <w:rsid w:val="00B05115"/>
    <w:rsid w:val="00B057C2"/>
    <w:rsid w:val="00B12696"/>
    <w:rsid w:val="00B2297F"/>
    <w:rsid w:val="00B22FC0"/>
    <w:rsid w:val="00B233C7"/>
    <w:rsid w:val="00B2686D"/>
    <w:rsid w:val="00B309ED"/>
    <w:rsid w:val="00B32FF6"/>
    <w:rsid w:val="00B3557A"/>
    <w:rsid w:val="00B36EEC"/>
    <w:rsid w:val="00B37702"/>
    <w:rsid w:val="00B43F5B"/>
    <w:rsid w:val="00B443D2"/>
    <w:rsid w:val="00B51BB0"/>
    <w:rsid w:val="00B539D2"/>
    <w:rsid w:val="00B651B2"/>
    <w:rsid w:val="00B65C10"/>
    <w:rsid w:val="00B66DA3"/>
    <w:rsid w:val="00B7232D"/>
    <w:rsid w:val="00B72D3B"/>
    <w:rsid w:val="00B8030E"/>
    <w:rsid w:val="00B81251"/>
    <w:rsid w:val="00B82F66"/>
    <w:rsid w:val="00B84A46"/>
    <w:rsid w:val="00B94136"/>
    <w:rsid w:val="00BA0916"/>
    <w:rsid w:val="00BA2931"/>
    <w:rsid w:val="00BA2DAB"/>
    <w:rsid w:val="00BA357A"/>
    <w:rsid w:val="00BA76BD"/>
    <w:rsid w:val="00BB066E"/>
    <w:rsid w:val="00BB4F4F"/>
    <w:rsid w:val="00BB582D"/>
    <w:rsid w:val="00BC05F7"/>
    <w:rsid w:val="00BC066B"/>
    <w:rsid w:val="00BC4B3F"/>
    <w:rsid w:val="00BD45BD"/>
    <w:rsid w:val="00BD5E86"/>
    <w:rsid w:val="00BE6139"/>
    <w:rsid w:val="00BE7C88"/>
    <w:rsid w:val="00BF5A19"/>
    <w:rsid w:val="00BF66D5"/>
    <w:rsid w:val="00BF7FA9"/>
    <w:rsid w:val="00C023B6"/>
    <w:rsid w:val="00C06F63"/>
    <w:rsid w:val="00C10435"/>
    <w:rsid w:val="00C20110"/>
    <w:rsid w:val="00C22882"/>
    <w:rsid w:val="00C2385B"/>
    <w:rsid w:val="00C24401"/>
    <w:rsid w:val="00C24674"/>
    <w:rsid w:val="00C27331"/>
    <w:rsid w:val="00C27B68"/>
    <w:rsid w:val="00C30F38"/>
    <w:rsid w:val="00C34FD1"/>
    <w:rsid w:val="00C43FEA"/>
    <w:rsid w:val="00C44976"/>
    <w:rsid w:val="00C5421F"/>
    <w:rsid w:val="00C566FA"/>
    <w:rsid w:val="00C60C3A"/>
    <w:rsid w:val="00C662B1"/>
    <w:rsid w:val="00C66DFF"/>
    <w:rsid w:val="00C67456"/>
    <w:rsid w:val="00C726CE"/>
    <w:rsid w:val="00C76F47"/>
    <w:rsid w:val="00C8008B"/>
    <w:rsid w:val="00C80BA3"/>
    <w:rsid w:val="00C85937"/>
    <w:rsid w:val="00C92871"/>
    <w:rsid w:val="00C939AF"/>
    <w:rsid w:val="00C9408C"/>
    <w:rsid w:val="00C94205"/>
    <w:rsid w:val="00C94786"/>
    <w:rsid w:val="00CA3D73"/>
    <w:rsid w:val="00CA3FCD"/>
    <w:rsid w:val="00CA4D1E"/>
    <w:rsid w:val="00CA6506"/>
    <w:rsid w:val="00CB41EE"/>
    <w:rsid w:val="00CB50A3"/>
    <w:rsid w:val="00CC0F36"/>
    <w:rsid w:val="00CC593D"/>
    <w:rsid w:val="00CC6613"/>
    <w:rsid w:val="00CE0512"/>
    <w:rsid w:val="00D06542"/>
    <w:rsid w:val="00D14091"/>
    <w:rsid w:val="00D149FF"/>
    <w:rsid w:val="00D205FD"/>
    <w:rsid w:val="00D25715"/>
    <w:rsid w:val="00D335C7"/>
    <w:rsid w:val="00D4147B"/>
    <w:rsid w:val="00D5160D"/>
    <w:rsid w:val="00D518BF"/>
    <w:rsid w:val="00D52082"/>
    <w:rsid w:val="00D54F0D"/>
    <w:rsid w:val="00D6524A"/>
    <w:rsid w:val="00D71ED1"/>
    <w:rsid w:val="00D72784"/>
    <w:rsid w:val="00D754AA"/>
    <w:rsid w:val="00D76944"/>
    <w:rsid w:val="00D80564"/>
    <w:rsid w:val="00D84095"/>
    <w:rsid w:val="00D86F13"/>
    <w:rsid w:val="00D9354A"/>
    <w:rsid w:val="00D94415"/>
    <w:rsid w:val="00DA34DF"/>
    <w:rsid w:val="00DA3C93"/>
    <w:rsid w:val="00DA55C2"/>
    <w:rsid w:val="00DA7BE8"/>
    <w:rsid w:val="00DB07CA"/>
    <w:rsid w:val="00DB0D7B"/>
    <w:rsid w:val="00DB2E34"/>
    <w:rsid w:val="00DC1ED8"/>
    <w:rsid w:val="00DC7E66"/>
    <w:rsid w:val="00DD1B03"/>
    <w:rsid w:val="00DD76D9"/>
    <w:rsid w:val="00DE0419"/>
    <w:rsid w:val="00DE594C"/>
    <w:rsid w:val="00DE66C0"/>
    <w:rsid w:val="00DE737E"/>
    <w:rsid w:val="00DF1E1B"/>
    <w:rsid w:val="00DF26B0"/>
    <w:rsid w:val="00E02389"/>
    <w:rsid w:val="00E076A7"/>
    <w:rsid w:val="00E07BD6"/>
    <w:rsid w:val="00E10082"/>
    <w:rsid w:val="00E150F8"/>
    <w:rsid w:val="00E20241"/>
    <w:rsid w:val="00E23E0A"/>
    <w:rsid w:val="00E24118"/>
    <w:rsid w:val="00E27C92"/>
    <w:rsid w:val="00E31022"/>
    <w:rsid w:val="00E35C45"/>
    <w:rsid w:val="00E37B67"/>
    <w:rsid w:val="00E40043"/>
    <w:rsid w:val="00E4260E"/>
    <w:rsid w:val="00E534DA"/>
    <w:rsid w:val="00E56221"/>
    <w:rsid w:val="00E66139"/>
    <w:rsid w:val="00E6772B"/>
    <w:rsid w:val="00E73703"/>
    <w:rsid w:val="00E749F7"/>
    <w:rsid w:val="00E811BB"/>
    <w:rsid w:val="00E84FB6"/>
    <w:rsid w:val="00E949B7"/>
    <w:rsid w:val="00E97A99"/>
    <w:rsid w:val="00EA59C8"/>
    <w:rsid w:val="00EA5D65"/>
    <w:rsid w:val="00EB165B"/>
    <w:rsid w:val="00EB2EBB"/>
    <w:rsid w:val="00EB35A2"/>
    <w:rsid w:val="00EB4D90"/>
    <w:rsid w:val="00EB725A"/>
    <w:rsid w:val="00EE12F2"/>
    <w:rsid w:val="00EE4017"/>
    <w:rsid w:val="00EF0D29"/>
    <w:rsid w:val="00EF13F7"/>
    <w:rsid w:val="00EF61D5"/>
    <w:rsid w:val="00EF784F"/>
    <w:rsid w:val="00F02766"/>
    <w:rsid w:val="00F174EE"/>
    <w:rsid w:val="00F25D42"/>
    <w:rsid w:val="00F26AAD"/>
    <w:rsid w:val="00F357D2"/>
    <w:rsid w:val="00F42610"/>
    <w:rsid w:val="00F42857"/>
    <w:rsid w:val="00F458D7"/>
    <w:rsid w:val="00F73507"/>
    <w:rsid w:val="00F74750"/>
    <w:rsid w:val="00F74B74"/>
    <w:rsid w:val="00F85DAE"/>
    <w:rsid w:val="00F909C0"/>
    <w:rsid w:val="00F93478"/>
    <w:rsid w:val="00F943D6"/>
    <w:rsid w:val="00F97F4A"/>
    <w:rsid w:val="00FA0A19"/>
    <w:rsid w:val="00FA2232"/>
    <w:rsid w:val="00FA4BFE"/>
    <w:rsid w:val="00FA6577"/>
    <w:rsid w:val="00FA69E8"/>
    <w:rsid w:val="00FA6EFD"/>
    <w:rsid w:val="00FB0346"/>
    <w:rsid w:val="00FB17D6"/>
    <w:rsid w:val="00FB3E20"/>
    <w:rsid w:val="00FB663D"/>
    <w:rsid w:val="00FC1500"/>
    <w:rsid w:val="00FD1832"/>
    <w:rsid w:val="00FE12B3"/>
    <w:rsid w:val="00FE3AD7"/>
    <w:rsid w:val="00FE53D0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38E41-177A-40FB-A43B-0039474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40BF"/>
    <w:pPr>
      <w:keepNext/>
      <w:tabs>
        <w:tab w:val="left" w:pos="900"/>
      </w:tabs>
      <w:suppressAutoHyphens w:val="0"/>
      <w:outlineLvl w:val="0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A40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Indent"/>
    <w:basedOn w:val="a"/>
    <w:unhideWhenUsed/>
    <w:rsid w:val="00AA40BF"/>
    <w:pPr>
      <w:suppressAutoHyphens w:val="0"/>
      <w:ind w:left="708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AA40B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A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unhideWhenUsed/>
    <w:rsid w:val="00AA40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AA40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A4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AA40BF"/>
    <w:pPr>
      <w:widowControl w:val="0"/>
      <w:suppressAutoHyphens w:val="0"/>
      <w:autoSpaceDE w:val="0"/>
      <w:autoSpaceDN w:val="0"/>
      <w:adjustRightInd w:val="0"/>
      <w:spacing w:line="281" w:lineRule="exact"/>
      <w:ind w:firstLine="569"/>
      <w:jc w:val="both"/>
    </w:pPr>
    <w:rPr>
      <w:lang w:eastAsia="ru-RU"/>
    </w:rPr>
  </w:style>
  <w:style w:type="paragraph" w:customStyle="1" w:styleId="ConsPlusNonformat">
    <w:name w:val="ConsPlusNonformat"/>
    <w:rsid w:val="00AA40BF"/>
    <w:pPr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22">
    <w:name w:val="Основной текст с отступом 22"/>
    <w:basedOn w:val="a"/>
    <w:rsid w:val="00AA40BF"/>
    <w:pPr>
      <w:spacing w:line="100" w:lineRule="atLeast"/>
      <w:ind w:firstLine="708"/>
      <w:jc w:val="both"/>
    </w:pPr>
    <w:rPr>
      <w:kern w:val="2"/>
      <w:sz w:val="26"/>
      <w:szCs w:val="26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D1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1B03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410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10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9D58C8"/>
    <w:pPr>
      <w:ind w:left="720"/>
      <w:contextualSpacing/>
    </w:pPr>
  </w:style>
  <w:style w:type="paragraph" w:customStyle="1" w:styleId="Default">
    <w:name w:val="Default"/>
    <w:rsid w:val="006C3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581B48"/>
    <w:rPr>
      <w:rFonts w:ascii="Times New Roman" w:hAnsi="Times New Roman" w:cs="Times New Roman" w:hint="default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939E1"/>
  </w:style>
  <w:style w:type="paragraph" w:styleId="ab">
    <w:name w:val="header"/>
    <w:basedOn w:val="a"/>
    <w:link w:val="ac"/>
    <w:uiPriority w:val="99"/>
    <w:unhideWhenUsed/>
    <w:rsid w:val="009D56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6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D56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6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A3CC-B142-43DB-A378-479A7CF1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9512</Words>
  <Characters>54219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oksana</cp:lastModifiedBy>
  <cp:revision>2</cp:revision>
  <cp:lastPrinted>2021-04-19T11:39:00Z</cp:lastPrinted>
  <dcterms:created xsi:type="dcterms:W3CDTF">2025-04-17T13:22:00Z</dcterms:created>
  <dcterms:modified xsi:type="dcterms:W3CDTF">2025-04-17T13:22:00Z</dcterms:modified>
</cp:coreProperties>
</file>