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1C8" w:rsidRPr="00F513B4" w:rsidRDefault="00B421C8" w:rsidP="00B421C8">
      <w:pPr>
        <w:pStyle w:val="a3"/>
        <w:spacing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513B4">
        <w:rPr>
          <w:rFonts w:ascii="Times New Roman" w:hAnsi="Times New Roman"/>
          <w:b/>
          <w:sz w:val="28"/>
          <w:szCs w:val="28"/>
        </w:rPr>
        <w:t>Социальная политика.</w:t>
      </w:r>
    </w:p>
    <w:p w:rsidR="00AA55F2" w:rsidRPr="00F513B4" w:rsidRDefault="00AA55F2" w:rsidP="00AA55F2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13B4">
        <w:rPr>
          <w:rFonts w:ascii="Times New Roman" w:hAnsi="Times New Roman"/>
          <w:sz w:val="28"/>
          <w:szCs w:val="28"/>
        </w:rPr>
        <w:t xml:space="preserve">Социальная политика города направлена на улучшение качества жизни населения города. </w:t>
      </w:r>
      <w:r w:rsidR="00F513B4" w:rsidRPr="00F513B4">
        <w:rPr>
          <w:rFonts w:ascii="Times New Roman" w:hAnsi="Times New Roman"/>
          <w:sz w:val="28"/>
          <w:szCs w:val="28"/>
        </w:rPr>
        <w:t>Около</w:t>
      </w:r>
      <w:r w:rsidRPr="00F513B4">
        <w:rPr>
          <w:rFonts w:ascii="Times New Roman" w:hAnsi="Times New Roman"/>
          <w:sz w:val="28"/>
          <w:szCs w:val="28"/>
        </w:rPr>
        <w:t xml:space="preserve"> 80% расходов бюджета города Азова направляется на реализацию социальных вопросов.</w:t>
      </w:r>
    </w:p>
    <w:p w:rsidR="00C74B9A" w:rsidRPr="00F513B4" w:rsidRDefault="00C74B9A" w:rsidP="00AA55F2">
      <w:pPr>
        <w:pStyle w:val="a3"/>
        <w:spacing w:line="276" w:lineRule="auto"/>
        <w:ind w:firstLine="708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AA55F2" w:rsidRPr="009E414F" w:rsidRDefault="00AA55F2" w:rsidP="00AA55F2">
      <w:pPr>
        <w:pStyle w:val="a3"/>
        <w:spacing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E414F">
        <w:rPr>
          <w:rFonts w:ascii="Times New Roman" w:hAnsi="Times New Roman"/>
          <w:b/>
          <w:sz w:val="28"/>
          <w:szCs w:val="28"/>
        </w:rPr>
        <w:t>Здравоохранение</w:t>
      </w:r>
    </w:p>
    <w:p w:rsidR="009E414F" w:rsidRPr="009E414F" w:rsidRDefault="009E414F" w:rsidP="009E414F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414F">
        <w:rPr>
          <w:rFonts w:ascii="Times New Roman" w:hAnsi="Times New Roman"/>
          <w:sz w:val="28"/>
          <w:szCs w:val="28"/>
        </w:rPr>
        <w:t>В 2024 году реализован комплекс мероприятий, в результате которых:</w:t>
      </w:r>
    </w:p>
    <w:p w:rsidR="009E414F" w:rsidRPr="009E414F" w:rsidRDefault="009E414F" w:rsidP="009E414F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414F">
        <w:rPr>
          <w:rFonts w:ascii="Times New Roman" w:hAnsi="Times New Roman"/>
          <w:sz w:val="28"/>
          <w:szCs w:val="28"/>
        </w:rPr>
        <w:t>- показатель «</w:t>
      </w:r>
      <w:r>
        <w:rPr>
          <w:rFonts w:ascii="Times New Roman" w:hAnsi="Times New Roman"/>
          <w:sz w:val="28"/>
          <w:szCs w:val="28"/>
        </w:rPr>
        <w:t>с</w:t>
      </w:r>
      <w:r w:rsidRPr="009E414F">
        <w:rPr>
          <w:rFonts w:ascii="Times New Roman" w:hAnsi="Times New Roman"/>
          <w:sz w:val="28"/>
          <w:szCs w:val="28"/>
        </w:rPr>
        <w:t>мертность населения в трудоспособном возрасте, на 100 тыс. чел. соответствующего возраста», составил 374,7. Этот показатель удалось улучшить по сравнению с 2023 годом, снизив индикатор на 6,7%.;</w:t>
      </w:r>
    </w:p>
    <w:p w:rsidR="009E414F" w:rsidRPr="009E414F" w:rsidRDefault="009E414F" w:rsidP="009E414F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414F">
        <w:rPr>
          <w:rFonts w:ascii="Times New Roman" w:hAnsi="Times New Roman"/>
          <w:sz w:val="28"/>
          <w:szCs w:val="28"/>
        </w:rPr>
        <w:t>- благодаря проводимым профилактическим мероприятиям в 2024 году удалось достичь установленный показатель «Смертность от всех причин» и улучшить его по сравнению с 2021 -2023 годами;</w:t>
      </w:r>
    </w:p>
    <w:p w:rsidR="009E414F" w:rsidRPr="009E414F" w:rsidRDefault="009E414F" w:rsidP="009E414F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414F">
        <w:rPr>
          <w:rFonts w:ascii="Times New Roman" w:hAnsi="Times New Roman"/>
          <w:sz w:val="28"/>
          <w:szCs w:val="28"/>
        </w:rPr>
        <w:t>- удалось исполнить установленные показатели по заработной плате всех категорий медицинских работников;</w:t>
      </w:r>
    </w:p>
    <w:p w:rsidR="009E414F" w:rsidRPr="009E414F" w:rsidRDefault="009E414F" w:rsidP="009E414F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414F">
        <w:rPr>
          <w:rFonts w:ascii="Times New Roman" w:hAnsi="Times New Roman"/>
          <w:sz w:val="28"/>
          <w:szCs w:val="28"/>
        </w:rPr>
        <w:t>- были созданы условия для обеспечения ГАУ РО «ЦГБ» в г. Азове квалифицированными кадрами, что позволило обеспечить непрерывное последипломное образование всех медицинских работников в соответствии с лицензионными требованиями;</w:t>
      </w:r>
    </w:p>
    <w:p w:rsidR="009E414F" w:rsidRPr="009E414F" w:rsidRDefault="009E414F" w:rsidP="009E414F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414F">
        <w:rPr>
          <w:rFonts w:ascii="Times New Roman" w:hAnsi="Times New Roman"/>
          <w:sz w:val="28"/>
          <w:szCs w:val="28"/>
        </w:rPr>
        <w:t xml:space="preserve">- уровень охвата граждан профилактическими медицинскими осмотрами составил 72,6%, что ниже запланированного на 17,4 пункта; </w:t>
      </w:r>
    </w:p>
    <w:p w:rsidR="009E414F" w:rsidRPr="009E414F" w:rsidRDefault="009E414F" w:rsidP="009E414F">
      <w:pPr>
        <w:tabs>
          <w:tab w:val="left" w:leader="underscore" w:pos="4143"/>
        </w:tabs>
        <w:spacing w:line="276" w:lineRule="auto"/>
        <w:ind w:right="80" w:firstLine="720"/>
        <w:jc w:val="both"/>
        <w:rPr>
          <w:rStyle w:val="43"/>
          <w:i w:val="0"/>
          <w:iCs/>
          <w:szCs w:val="28"/>
        </w:rPr>
      </w:pPr>
      <w:r w:rsidRPr="009E414F">
        <w:rPr>
          <w:rStyle w:val="43"/>
          <w:i w:val="0"/>
          <w:iCs/>
          <w:szCs w:val="28"/>
        </w:rPr>
        <w:t xml:space="preserve">- показатель «смертность от болезней системы </w:t>
      </w:r>
      <w:proofErr w:type="gramStart"/>
      <w:r w:rsidRPr="009E414F">
        <w:rPr>
          <w:rStyle w:val="43"/>
          <w:i w:val="0"/>
          <w:iCs/>
          <w:szCs w:val="28"/>
        </w:rPr>
        <w:t xml:space="preserve">кровообращения» </w:t>
      </w:r>
      <w:r>
        <w:rPr>
          <w:rStyle w:val="43"/>
          <w:i w:val="0"/>
          <w:iCs/>
          <w:szCs w:val="28"/>
        </w:rPr>
        <w:t xml:space="preserve"> </w:t>
      </w:r>
      <w:r w:rsidRPr="009E414F">
        <w:rPr>
          <w:rStyle w:val="43"/>
          <w:i w:val="0"/>
          <w:iCs/>
          <w:szCs w:val="28"/>
        </w:rPr>
        <w:t>составил</w:t>
      </w:r>
      <w:proofErr w:type="gramEnd"/>
      <w:r w:rsidRPr="009E414F">
        <w:rPr>
          <w:rStyle w:val="43"/>
          <w:i w:val="0"/>
          <w:iCs/>
          <w:szCs w:val="28"/>
        </w:rPr>
        <w:t xml:space="preserve">  – 549,88. По сравнению с 2023 годом он был улучшен – снижение смертности составило 20,8%.</w:t>
      </w:r>
    </w:p>
    <w:p w:rsidR="009E414F" w:rsidRPr="009E414F" w:rsidRDefault="009E414F" w:rsidP="009E414F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414F">
        <w:rPr>
          <w:rFonts w:ascii="Times New Roman" w:hAnsi="Times New Roman"/>
          <w:sz w:val="28"/>
          <w:szCs w:val="28"/>
        </w:rPr>
        <w:t xml:space="preserve">- удалось улучшить показатель «смертность от новообразований (в том числе злокачественных») плановое значение 176,8 число умерших на 100 тыс. чел. населения, фактическое значение 169,2; </w:t>
      </w:r>
    </w:p>
    <w:p w:rsidR="009E414F" w:rsidRPr="009E414F" w:rsidRDefault="009E414F" w:rsidP="009E414F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414F">
        <w:rPr>
          <w:rFonts w:ascii="Times New Roman" w:hAnsi="Times New Roman"/>
          <w:sz w:val="28"/>
          <w:szCs w:val="28"/>
        </w:rPr>
        <w:t>- процент охвата населения профилактическими осмотрами на туберкулез в 2024 году выше установленного показателя и составляет 72,9%, Охват обследованием детского населения составил 100%;</w:t>
      </w:r>
    </w:p>
    <w:p w:rsidR="009E414F" w:rsidRPr="009E414F" w:rsidRDefault="009E414F" w:rsidP="009E414F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414F">
        <w:rPr>
          <w:rFonts w:ascii="Times New Roman" w:hAnsi="Times New Roman"/>
          <w:sz w:val="28"/>
          <w:szCs w:val="28"/>
        </w:rPr>
        <w:t xml:space="preserve">- удалось улучшить показатель «смертность от туберкулеза на 100 тыс. населения» - плановое значение 8,5, фактическое значение 2,5; </w:t>
      </w:r>
    </w:p>
    <w:p w:rsidR="009E414F" w:rsidRPr="009E414F" w:rsidRDefault="009E414F" w:rsidP="009E414F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414F">
        <w:rPr>
          <w:rFonts w:ascii="Times New Roman" w:hAnsi="Times New Roman"/>
          <w:sz w:val="28"/>
          <w:szCs w:val="28"/>
        </w:rPr>
        <w:t xml:space="preserve">- «младенческая смертность» - плановое значение 4,5 случаев на 1000 родившихся живыми, фактическое значение 3,2; </w:t>
      </w:r>
    </w:p>
    <w:p w:rsidR="009E414F" w:rsidRPr="009E414F" w:rsidRDefault="009E414F" w:rsidP="009E414F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414F">
        <w:rPr>
          <w:rFonts w:ascii="Times New Roman" w:hAnsi="Times New Roman"/>
          <w:sz w:val="28"/>
          <w:szCs w:val="28"/>
        </w:rPr>
        <w:t xml:space="preserve">- «смертность от болезней системы кровообращения» - плановое значение 486,0 число умерших на 100 тыс. человек населения, фактическое значение – 549,9. </w:t>
      </w:r>
    </w:p>
    <w:p w:rsidR="009E414F" w:rsidRDefault="009E414F" w:rsidP="009E414F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NewRomanPSMT" w:eastAsia="Calibri" w:hAnsi="TimesNewRomanPSMT" w:cs="TimesNewRomanPSMT"/>
          <w:sz w:val="28"/>
          <w:szCs w:val="28"/>
        </w:rPr>
      </w:pPr>
      <w:r w:rsidRPr="009E414F">
        <w:rPr>
          <w:rFonts w:ascii="TimesNewRomanPSMT" w:eastAsia="Calibri" w:hAnsi="TimesNewRomanPSMT" w:cs="TimesNewRomanPSMT"/>
          <w:sz w:val="28"/>
          <w:szCs w:val="28"/>
        </w:rPr>
        <w:t>В 2024 году была продолжена работа по повышению квалификации медицинских работников. Продолжалась подготовка специалистов в</w:t>
      </w:r>
      <w:r w:rsidRPr="009E414F">
        <w:rPr>
          <w:sz w:val="28"/>
          <w:szCs w:val="28"/>
        </w:rPr>
        <w:t xml:space="preserve"> </w:t>
      </w:r>
      <w:r w:rsidRPr="009E414F">
        <w:rPr>
          <w:rFonts w:ascii="TimesNewRomanPSMT" w:eastAsia="Calibri" w:hAnsi="TimesNewRomanPSMT" w:cs="TimesNewRomanPSMT"/>
          <w:sz w:val="28"/>
          <w:szCs w:val="28"/>
        </w:rPr>
        <w:lastRenderedPageBreak/>
        <w:t>ординатуре. Создаются условия для привлечения и закрепления кадров (возмещение стоимости найма жилья, участие в программе государственной поддержки улучшения жилищных условий врачей дефицитных специальностей).</w:t>
      </w:r>
    </w:p>
    <w:p w:rsidR="004439C1" w:rsidRPr="00F513B4" w:rsidRDefault="004439C1" w:rsidP="00BA5114">
      <w:pPr>
        <w:pStyle w:val="a3"/>
        <w:spacing w:line="276" w:lineRule="auto"/>
        <w:ind w:firstLine="708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BA5114" w:rsidRPr="005228E3" w:rsidRDefault="00BA5114" w:rsidP="00BA5114">
      <w:pPr>
        <w:pStyle w:val="a3"/>
        <w:spacing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228E3">
        <w:rPr>
          <w:rFonts w:ascii="Times New Roman" w:hAnsi="Times New Roman"/>
          <w:b/>
          <w:sz w:val="28"/>
          <w:szCs w:val="28"/>
        </w:rPr>
        <w:t>Образование.</w:t>
      </w:r>
    </w:p>
    <w:p w:rsidR="00E77946" w:rsidRPr="00D15137" w:rsidRDefault="005A7CF5" w:rsidP="00E77946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2024 году </w:t>
      </w:r>
      <w:r w:rsidR="00D15137" w:rsidRPr="00D15137">
        <w:rPr>
          <w:rFonts w:ascii="Times New Roman" w:hAnsi="Times New Roman"/>
          <w:sz w:val="28"/>
          <w:szCs w:val="28"/>
        </w:rPr>
        <w:t>на территории города Азова функционировало 25 детских садов, которые посещали 3465 дошкольников</w:t>
      </w:r>
      <w:r w:rsidR="00E77946">
        <w:rPr>
          <w:rFonts w:ascii="Times New Roman" w:hAnsi="Times New Roman"/>
          <w:sz w:val="28"/>
          <w:szCs w:val="28"/>
        </w:rPr>
        <w:t>.</w:t>
      </w:r>
      <w:r w:rsidR="00D15137" w:rsidRPr="00D15137">
        <w:rPr>
          <w:rFonts w:ascii="Times New Roman" w:hAnsi="Times New Roman"/>
          <w:sz w:val="28"/>
          <w:szCs w:val="28"/>
        </w:rPr>
        <w:t xml:space="preserve"> </w:t>
      </w:r>
      <w:r w:rsidR="004439C1" w:rsidRPr="00D15137">
        <w:rPr>
          <w:rFonts w:ascii="Times New Roman" w:hAnsi="Times New Roman"/>
          <w:sz w:val="28"/>
          <w:szCs w:val="28"/>
        </w:rPr>
        <w:t xml:space="preserve"> </w:t>
      </w:r>
      <w:r w:rsidR="00E77946">
        <w:rPr>
          <w:rFonts w:ascii="Times New Roman" w:hAnsi="Times New Roman"/>
          <w:sz w:val="28"/>
          <w:szCs w:val="28"/>
        </w:rPr>
        <w:t>В</w:t>
      </w:r>
      <w:r w:rsidR="00E77946" w:rsidRPr="00D15137">
        <w:rPr>
          <w:rFonts w:ascii="Times New Roman" w:hAnsi="Times New Roman"/>
          <w:sz w:val="28"/>
          <w:szCs w:val="28"/>
        </w:rPr>
        <w:t xml:space="preserve"> 2024 году места в ДОУ получили 477 дошкольник</w:t>
      </w:r>
      <w:r w:rsidR="00E77946">
        <w:rPr>
          <w:rFonts w:ascii="Times New Roman" w:hAnsi="Times New Roman"/>
          <w:sz w:val="28"/>
          <w:szCs w:val="28"/>
        </w:rPr>
        <w:t>.</w:t>
      </w:r>
    </w:p>
    <w:p w:rsidR="004439C1" w:rsidRPr="00D15137" w:rsidRDefault="00E77946" w:rsidP="00690D6A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439C1" w:rsidRPr="00D15137">
        <w:rPr>
          <w:rFonts w:ascii="Times New Roman" w:hAnsi="Times New Roman"/>
          <w:sz w:val="28"/>
          <w:szCs w:val="28"/>
        </w:rPr>
        <w:t>довлетворенность потребности населения в услугах дошкольного образования составляет 100%</w:t>
      </w:r>
      <w:r>
        <w:rPr>
          <w:rFonts w:ascii="Times New Roman" w:hAnsi="Times New Roman"/>
          <w:sz w:val="28"/>
          <w:szCs w:val="28"/>
        </w:rPr>
        <w:t>.</w:t>
      </w:r>
      <w:r w:rsidR="004439C1" w:rsidRPr="00D15137">
        <w:rPr>
          <w:rFonts w:ascii="Times New Roman" w:hAnsi="Times New Roman"/>
          <w:sz w:val="28"/>
          <w:szCs w:val="28"/>
        </w:rPr>
        <w:t xml:space="preserve"> </w:t>
      </w:r>
    </w:p>
    <w:p w:rsidR="005A7CF5" w:rsidRPr="005228E3" w:rsidRDefault="005A7CF5" w:rsidP="005A7CF5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28E3">
        <w:rPr>
          <w:rFonts w:ascii="Times New Roman" w:hAnsi="Times New Roman"/>
          <w:sz w:val="28"/>
          <w:szCs w:val="28"/>
        </w:rPr>
        <w:t>В 2024 году в городе функционир</w:t>
      </w:r>
      <w:r w:rsidR="00E77946">
        <w:rPr>
          <w:rFonts w:ascii="Times New Roman" w:hAnsi="Times New Roman"/>
          <w:sz w:val="28"/>
          <w:szCs w:val="28"/>
        </w:rPr>
        <w:t>овало</w:t>
      </w:r>
      <w:r w:rsidRPr="005228E3">
        <w:rPr>
          <w:rFonts w:ascii="Times New Roman" w:hAnsi="Times New Roman"/>
          <w:sz w:val="28"/>
          <w:szCs w:val="28"/>
        </w:rPr>
        <w:t xml:space="preserve"> 11 общеобразовательных учреждений. Общее количество учащихся – 9565 человек. Охват детей в возрасте от 7 до 18 лет начальным общим, основным общим, средним общим образованием составил 100%.</w:t>
      </w:r>
    </w:p>
    <w:p w:rsidR="005A7CF5" w:rsidRDefault="005A7CF5" w:rsidP="005A7CF5">
      <w:pPr>
        <w:pStyle w:val="a5"/>
        <w:spacing w:line="276" w:lineRule="auto"/>
        <w:ind w:firstLine="708"/>
        <w:jc w:val="both"/>
        <w:rPr>
          <w:szCs w:val="28"/>
        </w:rPr>
      </w:pPr>
      <w:r w:rsidRPr="005228E3">
        <w:rPr>
          <w:szCs w:val="28"/>
        </w:rPr>
        <w:t>Доля обучающихся, занимающихся во 2-ю смену, составила 31,6 %, что выше на 2,6 % уровня 2023 года (это связано с началом работы школы № 16 и проведением капитального ремонта школы № 5).</w:t>
      </w:r>
      <w:r w:rsidRPr="00256B1D">
        <w:rPr>
          <w:szCs w:val="28"/>
        </w:rPr>
        <w:t xml:space="preserve"> </w:t>
      </w:r>
    </w:p>
    <w:p w:rsidR="005A7CF5" w:rsidRPr="005A7CF5" w:rsidRDefault="00E77946" w:rsidP="005A7CF5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A7CF5" w:rsidRPr="005A7CF5">
        <w:rPr>
          <w:rFonts w:ascii="Times New Roman" w:hAnsi="Times New Roman"/>
          <w:sz w:val="28"/>
          <w:szCs w:val="28"/>
        </w:rPr>
        <w:t>рганизовано бесплатное горячее питание для обучающихся, получающих начальное общее образование в муниципальных образовательных организациях</w:t>
      </w:r>
      <w:r>
        <w:rPr>
          <w:rFonts w:ascii="Times New Roman" w:hAnsi="Times New Roman"/>
          <w:sz w:val="28"/>
          <w:szCs w:val="28"/>
        </w:rPr>
        <w:t>.</w:t>
      </w:r>
    </w:p>
    <w:p w:rsidR="0096437C" w:rsidRPr="0096437C" w:rsidRDefault="0096437C" w:rsidP="0096437C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437C">
        <w:rPr>
          <w:rFonts w:ascii="Times New Roman" w:hAnsi="Times New Roman"/>
          <w:sz w:val="28"/>
          <w:szCs w:val="28"/>
        </w:rPr>
        <w:t>Обеспечена возможность предоставления в электронном виде муниципальной услуги 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учет». Эту услугу жители города могут получить в Управлении образования, в МФЦ г. Азова, через госуслуги.</w:t>
      </w:r>
    </w:p>
    <w:p w:rsidR="00E026CF" w:rsidRPr="00EA7600" w:rsidRDefault="0096437C" w:rsidP="00690D6A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7600">
        <w:rPr>
          <w:rFonts w:ascii="Times New Roman" w:hAnsi="Times New Roman"/>
          <w:sz w:val="28"/>
          <w:szCs w:val="28"/>
        </w:rPr>
        <w:t>В</w:t>
      </w:r>
      <w:r w:rsidR="00E026CF" w:rsidRPr="00EA7600">
        <w:rPr>
          <w:rFonts w:ascii="Times New Roman" w:hAnsi="Times New Roman"/>
          <w:sz w:val="28"/>
          <w:szCs w:val="28"/>
        </w:rPr>
        <w:t>о всех 10 общеобразовательных учреждениях созданы условия, соответствующие требованиям Федеральных государственных образовательных стандартов начального общего образования, основного общего образования и среднего общего образования.</w:t>
      </w:r>
      <w:r w:rsidR="00E026CF" w:rsidRPr="00EA7600">
        <w:rPr>
          <w:sz w:val="28"/>
          <w:szCs w:val="28"/>
        </w:rPr>
        <w:t xml:space="preserve"> </w:t>
      </w:r>
      <w:r w:rsidR="00E026CF" w:rsidRPr="00EA7600">
        <w:rPr>
          <w:rFonts w:ascii="Times New Roman" w:hAnsi="Times New Roman"/>
          <w:sz w:val="28"/>
          <w:szCs w:val="28"/>
        </w:rPr>
        <w:t>В 202</w:t>
      </w:r>
      <w:r w:rsidRPr="00EA7600">
        <w:rPr>
          <w:rFonts w:ascii="Times New Roman" w:hAnsi="Times New Roman"/>
          <w:sz w:val="28"/>
          <w:szCs w:val="28"/>
        </w:rPr>
        <w:t>4</w:t>
      </w:r>
      <w:r w:rsidR="00E026CF" w:rsidRPr="00EA7600">
        <w:rPr>
          <w:rFonts w:ascii="Times New Roman" w:hAnsi="Times New Roman"/>
          <w:sz w:val="28"/>
          <w:szCs w:val="28"/>
        </w:rPr>
        <w:t xml:space="preserve"> году по новым образовательным стандартам обучаются 100% учащихся начальной школы и 100% учащихся основной школы, 100% учащихся средней школы. Введение федеральных образовательных стандартов в школах города обеспечено материальными и кадровыми ресурсами</w:t>
      </w:r>
      <w:r w:rsidR="00EA7600">
        <w:rPr>
          <w:rFonts w:ascii="Times New Roman" w:hAnsi="Times New Roman"/>
          <w:sz w:val="28"/>
          <w:szCs w:val="28"/>
        </w:rPr>
        <w:t>.</w:t>
      </w:r>
    </w:p>
    <w:p w:rsidR="00F77E10" w:rsidRPr="00EA7600" w:rsidRDefault="00F77E10" w:rsidP="00EA7600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7600">
        <w:rPr>
          <w:rFonts w:ascii="Times New Roman" w:hAnsi="Times New Roman"/>
          <w:sz w:val="28"/>
          <w:szCs w:val="28"/>
        </w:rPr>
        <w:t xml:space="preserve">В целях осуществления ранней диагностики состояния здоровья обучающихся установлены автоматизированные программные комплексы «АРМИС» в семи школах. На их базе проходит обследование около 5 тысяч </w:t>
      </w:r>
      <w:r w:rsidRPr="00EA7600">
        <w:rPr>
          <w:rFonts w:ascii="Times New Roman" w:hAnsi="Times New Roman"/>
          <w:sz w:val="28"/>
          <w:szCs w:val="28"/>
        </w:rPr>
        <w:lastRenderedPageBreak/>
        <w:t xml:space="preserve">детей с целью выявления отклонений в состоянии здоровья и проведении работы по организации медицинской помощи. </w:t>
      </w:r>
    </w:p>
    <w:p w:rsidR="00F77E10" w:rsidRPr="00EA7600" w:rsidRDefault="00F77E10" w:rsidP="00F77E10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7600">
        <w:rPr>
          <w:rFonts w:ascii="Times New Roman" w:hAnsi="Times New Roman"/>
          <w:sz w:val="28"/>
          <w:szCs w:val="28"/>
        </w:rPr>
        <w:t xml:space="preserve">В период летней оздоровительной кампании в 2024 году в два потока работало 10 оздоровительных лагерей дневного пребывания. В первом потоке оздоровилось – 1022 ребенка, во втором потоке - 653 ребенка. </w:t>
      </w:r>
    </w:p>
    <w:p w:rsidR="00F77E10" w:rsidRPr="00EA7600" w:rsidRDefault="00F77E10" w:rsidP="00EA7600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7600">
        <w:rPr>
          <w:rFonts w:ascii="Times New Roman" w:hAnsi="Times New Roman"/>
          <w:sz w:val="28"/>
          <w:szCs w:val="28"/>
        </w:rPr>
        <w:t>Дети из малообеспеченных семей, дети-сироты оздоровились в круглосуточных лагерях Неклиновского района - 52 ребенка.</w:t>
      </w:r>
    </w:p>
    <w:p w:rsidR="00F77E10" w:rsidRPr="00EA7600" w:rsidRDefault="00F77E10" w:rsidP="00EA7600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7600">
        <w:rPr>
          <w:rFonts w:ascii="Times New Roman" w:hAnsi="Times New Roman"/>
          <w:sz w:val="28"/>
          <w:szCs w:val="28"/>
        </w:rPr>
        <w:t>В период летних каникул через Центр занятости было трудоустроено 457 ребят.</w:t>
      </w:r>
    </w:p>
    <w:p w:rsidR="00F77E10" w:rsidRPr="00EA7600" w:rsidRDefault="00F77E10" w:rsidP="00F77E10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7600">
        <w:rPr>
          <w:rFonts w:ascii="Times New Roman" w:hAnsi="Times New Roman"/>
          <w:sz w:val="28"/>
          <w:szCs w:val="28"/>
        </w:rPr>
        <w:t xml:space="preserve">С 2022 года ведется строительство новой школы на 600 мест по адресу: г. Азов, ул. Гагарина 32. Планируется открыть школу в 2025 году. </w:t>
      </w:r>
    </w:p>
    <w:p w:rsidR="00F77E10" w:rsidRPr="00400D61" w:rsidRDefault="00F77E10" w:rsidP="00F77E10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7600">
        <w:rPr>
          <w:rFonts w:ascii="Times New Roman" w:hAnsi="Times New Roman"/>
          <w:sz w:val="28"/>
          <w:szCs w:val="28"/>
        </w:rPr>
        <w:t xml:space="preserve">С июня 2022 начато строительство МБОУ СОШ на 1340 мест по адресу: Ростовская область, г. Азов, ул. Московская, 304. Планируется открыть школу </w:t>
      </w:r>
      <w:proofErr w:type="gramStart"/>
      <w:r w:rsidRPr="00EA7600">
        <w:rPr>
          <w:rFonts w:ascii="Times New Roman" w:hAnsi="Times New Roman"/>
          <w:sz w:val="28"/>
          <w:szCs w:val="28"/>
        </w:rPr>
        <w:t>в  2025</w:t>
      </w:r>
      <w:proofErr w:type="gramEnd"/>
      <w:r w:rsidRPr="00EA7600">
        <w:rPr>
          <w:rFonts w:ascii="Times New Roman" w:hAnsi="Times New Roman"/>
          <w:sz w:val="28"/>
          <w:szCs w:val="28"/>
        </w:rPr>
        <w:t xml:space="preserve"> году.</w:t>
      </w:r>
      <w:r w:rsidRPr="00400D61">
        <w:rPr>
          <w:rFonts w:ascii="Times New Roman" w:hAnsi="Times New Roman"/>
          <w:sz w:val="28"/>
          <w:szCs w:val="28"/>
        </w:rPr>
        <w:t xml:space="preserve"> </w:t>
      </w:r>
    </w:p>
    <w:p w:rsidR="00CB032E" w:rsidRPr="00F513B4" w:rsidRDefault="00CB032E" w:rsidP="00B30FB3">
      <w:pPr>
        <w:pStyle w:val="a5"/>
        <w:spacing w:line="276" w:lineRule="auto"/>
        <w:ind w:firstLine="708"/>
        <w:jc w:val="both"/>
        <w:rPr>
          <w:b/>
          <w:iCs/>
          <w:szCs w:val="28"/>
          <w:highlight w:val="yellow"/>
        </w:rPr>
      </w:pPr>
    </w:p>
    <w:p w:rsidR="00B30FB3" w:rsidRPr="005353E5" w:rsidRDefault="00B30FB3" w:rsidP="00B30FB3">
      <w:pPr>
        <w:pStyle w:val="a5"/>
        <w:spacing w:line="276" w:lineRule="auto"/>
        <w:ind w:firstLine="708"/>
        <w:jc w:val="both"/>
        <w:rPr>
          <w:b/>
          <w:iCs/>
          <w:szCs w:val="28"/>
        </w:rPr>
      </w:pPr>
      <w:r w:rsidRPr="005353E5">
        <w:rPr>
          <w:b/>
          <w:iCs/>
          <w:szCs w:val="28"/>
        </w:rPr>
        <w:t>Культура</w:t>
      </w:r>
    </w:p>
    <w:p w:rsidR="00B30FB3" w:rsidRPr="005353E5" w:rsidRDefault="00B30FB3" w:rsidP="00B30FB3">
      <w:pPr>
        <w:pStyle w:val="a5"/>
        <w:spacing w:line="276" w:lineRule="auto"/>
        <w:ind w:firstLine="708"/>
        <w:jc w:val="both"/>
      </w:pPr>
      <w:r w:rsidRPr="005353E5">
        <w:rPr>
          <w:szCs w:val="28"/>
        </w:rPr>
        <w:t xml:space="preserve">В отчетном году реализован комплекс мероприятий, определенный </w:t>
      </w:r>
      <w:r w:rsidRPr="005353E5">
        <w:rPr>
          <w:iCs/>
          <w:szCs w:val="28"/>
        </w:rPr>
        <w:t>муниципальной программой города Азова «Развитие культуры и туризма»</w:t>
      </w:r>
      <w:r w:rsidRPr="005353E5">
        <w:rPr>
          <w:szCs w:val="28"/>
        </w:rPr>
        <w:t xml:space="preserve"> </w:t>
      </w:r>
      <w:r w:rsidRPr="005353E5">
        <w:t>в результате которых:</w:t>
      </w:r>
    </w:p>
    <w:p w:rsidR="00B30FB3" w:rsidRPr="00195C62" w:rsidRDefault="00B30FB3" w:rsidP="00B30FB3">
      <w:pPr>
        <w:pStyle w:val="a5"/>
        <w:spacing w:line="276" w:lineRule="auto"/>
        <w:jc w:val="both"/>
        <w:rPr>
          <w:iCs/>
          <w:szCs w:val="28"/>
        </w:rPr>
      </w:pPr>
      <w:r w:rsidRPr="00195C62">
        <w:rPr>
          <w:iCs/>
          <w:szCs w:val="28"/>
        </w:rPr>
        <w:t>- за 202</w:t>
      </w:r>
      <w:r w:rsidR="00195C62" w:rsidRPr="00195C62">
        <w:rPr>
          <w:iCs/>
          <w:szCs w:val="28"/>
        </w:rPr>
        <w:t>4</w:t>
      </w:r>
      <w:r w:rsidRPr="00195C62">
        <w:rPr>
          <w:iCs/>
          <w:szCs w:val="28"/>
        </w:rPr>
        <w:t xml:space="preserve"> год в библиотеках МБУК ЦБС проведено </w:t>
      </w:r>
      <w:r w:rsidR="00195C62" w:rsidRPr="00195C62">
        <w:rPr>
          <w:iCs/>
          <w:szCs w:val="28"/>
        </w:rPr>
        <w:t>2030</w:t>
      </w:r>
      <w:r w:rsidRPr="00195C62">
        <w:rPr>
          <w:iCs/>
          <w:szCs w:val="28"/>
        </w:rPr>
        <w:t xml:space="preserve"> мероприятия, которые посетили 3</w:t>
      </w:r>
      <w:r w:rsidR="00195C62" w:rsidRPr="00195C62">
        <w:rPr>
          <w:iCs/>
          <w:szCs w:val="28"/>
        </w:rPr>
        <w:t>8118</w:t>
      </w:r>
      <w:r w:rsidRPr="00195C62">
        <w:rPr>
          <w:iCs/>
          <w:szCs w:val="28"/>
        </w:rPr>
        <w:t xml:space="preserve"> человек. </w:t>
      </w:r>
    </w:p>
    <w:p w:rsidR="00B30FB3" w:rsidRPr="00195C62" w:rsidRDefault="00B30FB3" w:rsidP="00B30FB3">
      <w:pPr>
        <w:pStyle w:val="a5"/>
        <w:spacing w:line="276" w:lineRule="auto"/>
        <w:jc w:val="both"/>
        <w:rPr>
          <w:iCs/>
          <w:szCs w:val="28"/>
        </w:rPr>
      </w:pPr>
      <w:r w:rsidRPr="00195C62">
        <w:rPr>
          <w:iCs/>
          <w:szCs w:val="28"/>
        </w:rPr>
        <w:t>- обновлен книжный фонд МБУК ЦБС г. Азова.  Приобретено в 202</w:t>
      </w:r>
      <w:r w:rsidR="00195C62" w:rsidRPr="00195C62">
        <w:rPr>
          <w:iCs/>
          <w:szCs w:val="28"/>
        </w:rPr>
        <w:t>4</w:t>
      </w:r>
      <w:r w:rsidRPr="00195C62">
        <w:rPr>
          <w:iCs/>
          <w:szCs w:val="28"/>
        </w:rPr>
        <w:t xml:space="preserve"> году </w:t>
      </w:r>
      <w:r w:rsidR="00195C62" w:rsidRPr="00195C62">
        <w:rPr>
          <w:iCs/>
          <w:szCs w:val="28"/>
        </w:rPr>
        <w:t>3682</w:t>
      </w:r>
      <w:r w:rsidRPr="00195C62">
        <w:rPr>
          <w:iCs/>
          <w:szCs w:val="28"/>
        </w:rPr>
        <w:t xml:space="preserve"> экземпляров книг на различную тематику.</w:t>
      </w:r>
    </w:p>
    <w:p w:rsidR="004B379F" w:rsidRPr="00B332E9" w:rsidRDefault="004B379F" w:rsidP="00B332E9">
      <w:pPr>
        <w:pStyle w:val="a5"/>
        <w:spacing w:line="276" w:lineRule="auto"/>
        <w:ind w:firstLine="708"/>
        <w:jc w:val="both"/>
        <w:rPr>
          <w:szCs w:val="28"/>
        </w:rPr>
      </w:pPr>
      <w:r w:rsidRPr="00B332E9">
        <w:rPr>
          <w:szCs w:val="28"/>
        </w:rPr>
        <w:t>З</w:t>
      </w:r>
      <w:r w:rsidRPr="00B332E9">
        <w:rPr>
          <w:szCs w:val="28"/>
        </w:rPr>
        <w:t xml:space="preserve">а 2024 год было проведено 420 культурно-массовых мероприятий, которые посетили 372361 человек, из них 97 мероприятий для детей до 14 лет, число посетителей – 38954 чел.; 47 мероприятий для молодёжи, число посетителей – 46858 чел.; 55 мероприятий для пожилых людей, число посетителей – 23385 чел.; остальные мероприятия в количестве 276 (число посетителей 263164 чел.) для смешанных категорий населения. Из общего количества мероприятий 327 были проведены на бесплатной основе в рамках муниципального задания. </w:t>
      </w:r>
    </w:p>
    <w:p w:rsidR="00233316" w:rsidRPr="008A3322" w:rsidRDefault="00233316" w:rsidP="00233316">
      <w:pPr>
        <w:pStyle w:val="a5"/>
        <w:spacing w:line="276" w:lineRule="auto"/>
        <w:ind w:firstLine="708"/>
        <w:jc w:val="both"/>
      </w:pPr>
      <w:r w:rsidRPr="008A3322">
        <w:t>За счёт оказания платных услуг населению приобретены сценические костюмы для МБУК ГДК г. Азова на сумму 1523,6 тыс. руб.</w:t>
      </w:r>
    </w:p>
    <w:p w:rsidR="00233316" w:rsidRDefault="00233316" w:rsidP="00233316">
      <w:pPr>
        <w:pStyle w:val="a5"/>
        <w:spacing w:line="276" w:lineRule="auto"/>
        <w:ind w:firstLine="708"/>
        <w:jc w:val="both"/>
      </w:pPr>
      <w:r>
        <w:t>Организациями</w:t>
      </w:r>
      <w:r w:rsidRPr="009C005B">
        <w:t xml:space="preserve"> </w:t>
      </w:r>
      <w:r>
        <w:t>дополнительного</w:t>
      </w:r>
      <w:r w:rsidRPr="009C005B">
        <w:t xml:space="preserve"> </w:t>
      </w:r>
      <w:r>
        <w:t>образования</w:t>
      </w:r>
      <w:r w:rsidRPr="009C005B">
        <w:t xml:space="preserve"> </w:t>
      </w:r>
      <w:r>
        <w:t>(МБУ</w:t>
      </w:r>
      <w:r w:rsidRPr="009C005B">
        <w:t xml:space="preserve"> </w:t>
      </w:r>
      <w:r>
        <w:t>ДО</w:t>
      </w:r>
      <w:r w:rsidRPr="009C005B">
        <w:t xml:space="preserve"> </w:t>
      </w:r>
      <w:r>
        <w:t>ДШИ</w:t>
      </w:r>
      <w:r w:rsidRPr="009C005B">
        <w:t xml:space="preserve"> </w:t>
      </w:r>
      <w:r>
        <w:t>и</w:t>
      </w:r>
      <w:r w:rsidRPr="009C005B">
        <w:t xml:space="preserve"> </w:t>
      </w:r>
      <w:r>
        <w:t>МБУ</w:t>
      </w:r>
      <w:r w:rsidRPr="009C005B">
        <w:t xml:space="preserve"> </w:t>
      </w:r>
      <w:r>
        <w:t>ДО</w:t>
      </w:r>
      <w:r w:rsidRPr="009C005B">
        <w:t xml:space="preserve"> </w:t>
      </w:r>
      <w:r>
        <w:t>ДХШ</w:t>
      </w:r>
      <w:r w:rsidRPr="009C005B">
        <w:t xml:space="preserve"> </w:t>
      </w:r>
      <w:r>
        <w:t>г.</w:t>
      </w:r>
      <w:r w:rsidRPr="009C005B">
        <w:t xml:space="preserve"> </w:t>
      </w:r>
      <w:r>
        <w:t>Азова)</w:t>
      </w:r>
      <w:r w:rsidRPr="009C005B">
        <w:t xml:space="preserve"> </w:t>
      </w:r>
      <w:r>
        <w:t>предоставлено</w:t>
      </w:r>
      <w:r w:rsidRPr="009C005B">
        <w:t xml:space="preserve"> </w:t>
      </w:r>
      <w:r>
        <w:t>обучение</w:t>
      </w:r>
      <w:r w:rsidRPr="009C005B">
        <w:t xml:space="preserve"> 1109 </w:t>
      </w:r>
      <w:r>
        <w:t>учащимся,</w:t>
      </w:r>
      <w:r w:rsidRPr="009C005B">
        <w:t xml:space="preserve"> </w:t>
      </w:r>
      <w:r>
        <w:t>по</w:t>
      </w:r>
      <w:r w:rsidRPr="009C005B">
        <w:t xml:space="preserve"> </w:t>
      </w:r>
      <w:r>
        <w:t>различным</w:t>
      </w:r>
      <w:r w:rsidRPr="009C005B">
        <w:t xml:space="preserve"> </w:t>
      </w:r>
      <w:r>
        <w:t>направлениям,</w:t>
      </w:r>
      <w:r w:rsidRPr="009C005B">
        <w:t xml:space="preserve"> </w:t>
      </w:r>
      <w:r>
        <w:t>из</w:t>
      </w:r>
      <w:r w:rsidRPr="009C005B">
        <w:t xml:space="preserve"> </w:t>
      </w:r>
      <w:r>
        <w:t>них</w:t>
      </w:r>
      <w:r w:rsidRPr="009C005B">
        <w:t xml:space="preserve"> 931 </w:t>
      </w:r>
      <w:r>
        <w:t>учащийся</w:t>
      </w:r>
      <w:r w:rsidRPr="009C005B">
        <w:t xml:space="preserve"> </w:t>
      </w:r>
      <w:r>
        <w:t>на</w:t>
      </w:r>
      <w:r w:rsidRPr="009C005B">
        <w:t xml:space="preserve"> </w:t>
      </w:r>
      <w:r>
        <w:t>бюджетной</w:t>
      </w:r>
      <w:r w:rsidRPr="009C005B">
        <w:t xml:space="preserve"> </w:t>
      </w:r>
      <w:r>
        <w:t>основе.</w:t>
      </w:r>
    </w:p>
    <w:p w:rsidR="00233316" w:rsidRDefault="00233316" w:rsidP="00233316">
      <w:pPr>
        <w:pStyle w:val="a5"/>
        <w:spacing w:line="276" w:lineRule="auto"/>
        <w:ind w:firstLine="708"/>
        <w:jc w:val="both"/>
      </w:pPr>
      <w:r>
        <w:t xml:space="preserve">В 2024 году </w:t>
      </w:r>
      <w:r>
        <w:t xml:space="preserve">был создан Виртуальный концертный зал, оснащенный большим светодиодным экраном и качественным звуком. На создание затрачено более 5,5 млн рублей, из них 5,4 млн рублей из федерального </w:t>
      </w:r>
      <w:r>
        <w:lastRenderedPageBreak/>
        <w:t>бюджета. С помощью высококачественного цифрового оборудования, посетители смогут познакомиться с лучшими образцами произведений из мира академического, театрального, хореографического, кинематографического и музыкального искусства. Виртуальный концертный зал работает в МБУК ГДК г. Азова на постоянной основе.</w:t>
      </w:r>
    </w:p>
    <w:p w:rsidR="002958A8" w:rsidRPr="00F513B4" w:rsidRDefault="002958A8" w:rsidP="002958A8">
      <w:pPr>
        <w:pStyle w:val="Default"/>
        <w:spacing w:line="276" w:lineRule="auto"/>
        <w:ind w:firstLine="708"/>
        <w:jc w:val="both"/>
        <w:rPr>
          <w:rFonts w:eastAsia="Calibri"/>
          <w:b/>
          <w:color w:val="auto"/>
          <w:sz w:val="28"/>
          <w:szCs w:val="28"/>
          <w:highlight w:val="yellow"/>
          <w:shd w:val="clear" w:color="auto" w:fill="FFFFFF"/>
          <w:lang w:eastAsia="en-US"/>
        </w:rPr>
      </w:pPr>
    </w:p>
    <w:p w:rsidR="002958A8" w:rsidRPr="008343F6" w:rsidRDefault="002958A8" w:rsidP="002958A8">
      <w:pPr>
        <w:pStyle w:val="Default"/>
        <w:spacing w:line="276" w:lineRule="auto"/>
        <w:ind w:firstLine="708"/>
        <w:jc w:val="both"/>
        <w:rPr>
          <w:rFonts w:eastAsia="Calibri"/>
          <w:b/>
          <w:color w:val="auto"/>
          <w:sz w:val="28"/>
          <w:szCs w:val="28"/>
          <w:shd w:val="clear" w:color="auto" w:fill="FFFFFF"/>
          <w:lang w:eastAsia="en-US"/>
        </w:rPr>
      </w:pPr>
      <w:r w:rsidRPr="008343F6">
        <w:rPr>
          <w:rFonts w:eastAsia="Calibri"/>
          <w:b/>
          <w:color w:val="auto"/>
          <w:sz w:val="28"/>
          <w:szCs w:val="28"/>
          <w:shd w:val="clear" w:color="auto" w:fill="FFFFFF"/>
          <w:lang w:eastAsia="en-US"/>
        </w:rPr>
        <w:t>Туризм</w:t>
      </w:r>
    </w:p>
    <w:p w:rsidR="00161C71" w:rsidRPr="008343F6" w:rsidRDefault="00161C71" w:rsidP="00161C71">
      <w:pPr>
        <w:pStyle w:val="Default"/>
        <w:spacing w:line="276" w:lineRule="auto"/>
        <w:ind w:firstLine="708"/>
        <w:jc w:val="both"/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</w:pPr>
      <w:r w:rsidRPr="008343F6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>Турпоток по всем объектам туриндустрии составил за 202</w:t>
      </w:r>
      <w:r w:rsidR="00F35F3F" w:rsidRPr="008343F6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>4</w:t>
      </w:r>
      <w:r w:rsidRPr="008343F6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 xml:space="preserve"> год 2</w:t>
      </w:r>
      <w:r w:rsidR="00F35F3F" w:rsidRPr="008343F6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>43</w:t>
      </w:r>
      <w:r w:rsidRPr="008343F6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 xml:space="preserve"> тыс. человек. </w:t>
      </w:r>
    </w:p>
    <w:p w:rsidR="008343F6" w:rsidRPr="008343F6" w:rsidRDefault="008343F6" w:rsidP="008343F6">
      <w:pPr>
        <w:pStyle w:val="Default"/>
        <w:spacing w:line="276" w:lineRule="auto"/>
        <w:ind w:firstLine="708"/>
        <w:jc w:val="both"/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</w:pPr>
      <w:r w:rsidRPr="008343F6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 xml:space="preserve">На сегодняшний день город Азов входит в три туристических брендовых маршрута: «Вольный Дон» - бренд Ростовской области, «Паспорт Великого путешественника» - бренд Ассоциации малых туристических городов, «Золотое Кольцо </w:t>
      </w:r>
      <w:proofErr w:type="spellStart"/>
      <w:r w:rsidRPr="008343F6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>Боспорского</w:t>
      </w:r>
      <w:proofErr w:type="spellEnd"/>
      <w:r w:rsidRPr="008343F6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 xml:space="preserve"> царства» - бренд, объединяющий Краснодарский край, Крым и Ростовскую область. Что дает городу большой спектр маркетинговых возможностей. </w:t>
      </w:r>
    </w:p>
    <w:p w:rsidR="008343F6" w:rsidRPr="00A45C40" w:rsidRDefault="008343F6" w:rsidP="008343F6">
      <w:pPr>
        <w:pStyle w:val="Default"/>
        <w:spacing w:line="276" w:lineRule="auto"/>
        <w:ind w:firstLine="708"/>
        <w:jc w:val="both"/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</w:pPr>
      <w:r w:rsidRPr="00A45C40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 xml:space="preserve">В 2024 году Министерство экономики Ростовской области проводили конкурсы на получение субсидии для бизнеса в сфере туризма и гостеприимства. ИП </w:t>
      </w:r>
      <w:proofErr w:type="spellStart"/>
      <w:r w:rsidRPr="00A45C40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>Шеравнер</w:t>
      </w:r>
      <w:proofErr w:type="spellEnd"/>
      <w:r w:rsidRPr="00A45C40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 xml:space="preserve"> получил государственную поддержку в размере более 3 млн рублей, на постройку авто кемпинга «Посольская слобода». </w:t>
      </w:r>
    </w:p>
    <w:p w:rsidR="008343F6" w:rsidRPr="00A45C40" w:rsidRDefault="008343F6" w:rsidP="008343F6">
      <w:pPr>
        <w:pStyle w:val="Default"/>
        <w:spacing w:line="276" w:lineRule="auto"/>
        <w:ind w:firstLine="708"/>
        <w:jc w:val="both"/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</w:pPr>
      <w:r w:rsidRPr="00A45C40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 xml:space="preserve">С 2024 года начались регулярные рейсы на суднах «Валдай», организованно туристическое сопровождение. </w:t>
      </w:r>
    </w:p>
    <w:p w:rsidR="002958A8" w:rsidRPr="008343F6" w:rsidRDefault="002958A8" w:rsidP="00EC32AE">
      <w:pPr>
        <w:pStyle w:val="Default"/>
        <w:spacing w:line="276" w:lineRule="auto"/>
        <w:ind w:firstLine="708"/>
        <w:jc w:val="both"/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</w:pPr>
      <w:r w:rsidRPr="008343F6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>С мая 2020 года в городе образовался «Альянс гостеприимства» куда вошли ключевые игроки турбизнеса.</w:t>
      </w:r>
    </w:p>
    <w:p w:rsidR="008343F6" w:rsidRPr="002B67C3" w:rsidRDefault="008343F6" w:rsidP="008343F6">
      <w:pPr>
        <w:pStyle w:val="Default"/>
        <w:spacing w:line="276" w:lineRule="auto"/>
        <w:ind w:firstLine="708"/>
        <w:jc w:val="both"/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</w:pPr>
      <w:r w:rsidRPr="008343F6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>Альянс гостеприимства города, сегодня представлен:</w:t>
      </w:r>
    </w:p>
    <w:p w:rsidR="008343F6" w:rsidRPr="002B67C3" w:rsidRDefault="008343F6" w:rsidP="008343F6">
      <w:pPr>
        <w:pStyle w:val="Default"/>
        <w:spacing w:line="276" w:lineRule="auto"/>
        <w:ind w:firstLine="708"/>
        <w:jc w:val="both"/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</w:pPr>
      <w:r w:rsidRPr="002B67C3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 xml:space="preserve">- всеми видами коллективных средств размещения общим номерным фондом 353 номера и единовременным </w:t>
      </w:r>
      <w:proofErr w:type="gramStart"/>
      <w:r w:rsidRPr="002B67C3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>проживанием  803</w:t>
      </w:r>
      <w:proofErr w:type="gramEnd"/>
      <w:r w:rsidRPr="002B67C3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 xml:space="preserve"> койко-места.  </w:t>
      </w:r>
    </w:p>
    <w:p w:rsidR="008343F6" w:rsidRPr="002B67C3" w:rsidRDefault="008343F6" w:rsidP="008343F6">
      <w:pPr>
        <w:pStyle w:val="Default"/>
        <w:spacing w:line="276" w:lineRule="auto"/>
        <w:ind w:firstLine="708"/>
        <w:jc w:val="both"/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</w:pPr>
      <w:r w:rsidRPr="002B67C3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 xml:space="preserve">- </w:t>
      </w:r>
      <w:proofErr w:type="gramStart"/>
      <w:r w:rsidRPr="002B67C3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>большим  ландшафтным</w:t>
      </w:r>
      <w:proofErr w:type="gramEnd"/>
      <w:r w:rsidRPr="002B67C3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 xml:space="preserve"> парком  «Киммерия» на 700  гектар, </w:t>
      </w:r>
    </w:p>
    <w:p w:rsidR="008343F6" w:rsidRPr="002B67C3" w:rsidRDefault="008343F6" w:rsidP="008343F6">
      <w:pPr>
        <w:pStyle w:val="Default"/>
        <w:spacing w:line="276" w:lineRule="auto"/>
        <w:ind w:firstLine="708"/>
        <w:jc w:val="both"/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</w:pPr>
      <w:r w:rsidRPr="002B67C3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 xml:space="preserve">- частной винодельней «Кантина» создающей вина из автохтонных сортов винограда, </w:t>
      </w:r>
    </w:p>
    <w:p w:rsidR="008343F6" w:rsidRPr="002B67C3" w:rsidRDefault="008343F6" w:rsidP="008343F6">
      <w:pPr>
        <w:pStyle w:val="Default"/>
        <w:spacing w:line="276" w:lineRule="auto"/>
        <w:ind w:firstLine="708"/>
        <w:jc w:val="both"/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</w:pPr>
      <w:r w:rsidRPr="002B67C3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 xml:space="preserve">- </w:t>
      </w:r>
      <w:proofErr w:type="gramStart"/>
      <w:r w:rsidRPr="002B67C3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>пивоварней  «</w:t>
      </w:r>
      <w:proofErr w:type="gramEnd"/>
      <w:r w:rsidRPr="002B67C3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 xml:space="preserve">Шерхоф»,  разливающей «Имперский </w:t>
      </w:r>
      <w:proofErr w:type="spellStart"/>
      <w:r w:rsidRPr="002B67C3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>стаут</w:t>
      </w:r>
      <w:proofErr w:type="spellEnd"/>
      <w:r w:rsidRPr="002B67C3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 xml:space="preserve">» и грушевый </w:t>
      </w:r>
      <w:proofErr w:type="spellStart"/>
      <w:r w:rsidRPr="002B67C3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>пуаре</w:t>
      </w:r>
      <w:proofErr w:type="spellEnd"/>
      <w:r w:rsidRPr="002B67C3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>,</w:t>
      </w:r>
    </w:p>
    <w:p w:rsidR="008343F6" w:rsidRPr="002B67C3" w:rsidRDefault="008343F6" w:rsidP="008343F6">
      <w:pPr>
        <w:pStyle w:val="Default"/>
        <w:spacing w:line="276" w:lineRule="auto"/>
        <w:ind w:firstLine="708"/>
        <w:jc w:val="both"/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</w:pPr>
      <w:r w:rsidRPr="002B67C3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>- рестораном-музеем «Крепостной вал» в меню, которого входят запатентованные блюда исторической кухни,</w:t>
      </w:r>
    </w:p>
    <w:p w:rsidR="008343F6" w:rsidRPr="002B67C3" w:rsidRDefault="008343F6" w:rsidP="008343F6">
      <w:pPr>
        <w:pStyle w:val="Default"/>
        <w:spacing w:line="276" w:lineRule="auto"/>
        <w:ind w:firstLine="708"/>
        <w:jc w:val="both"/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</w:pPr>
      <w:r w:rsidRPr="002B67C3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>- прокатом спортивного оборудования «Лодочки».</w:t>
      </w:r>
    </w:p>
    <w:p w:rsidR="00076CAA" w:rsidRPr="002B67C3" w:rsidRDefault="00076CAA" w:rsidP="00076CAA">
      <w:pPr>
        <w:pStyle w:val="Default"/>
        <w:spacing w:line="276" w:lineRule="auto"/>
        <w:ind w:firstLine="708"/>
        <w:jc w:val="both"/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</w:pPr>
      <w:r w:rsidRPr="002B67C3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 xml:space="preserve">Входя в федерльные и региональные маршруты (такие как «Золотое </w:t>
      </w:r>
      <w:r w:rsidRPr="004A6DA8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 xml:space="preserve">кольцо </w:t>
      </w:r>
      <w:proofErr w:type="spellStart"/>
      <w:r w:rsidRPr="004A6DA8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>Боспорского</w:t>
      </w:r>
      <w:proofErr w:type="spellEnd"/>
      <w:r w:rsidRPr="004A6DA8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 xml:space="preserve"> царства», </w:t>
      </w:r>
      <w:r w:rsidRPr="004A6DA8">
        <w:rPr>
          <w:sz w:val="28"/>
          <w:szCs w:val="28"/>
        </w:rPr>
        <w:t>«Большой казачий круг»</w:t>
      </w:r>
      <w:r w:rsidRPr="004A6DA8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 xml:space="preserve"> и «</w:t>
      </w:r>
      <w:proofErr w:type="spellStart"/>
      <w:r w:rsidRPr="004A6DA8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>Стартап</w:t>
      </w:r>
      <w:proofErr w:type="spellEnd"/>
      <w:r w:rsidRPr="004A6DA8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 xml:space="preserve"> Петра</w:t>
      </w:r>
      <w:r w:rsidRPr="002B67C3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 xml:space="preserve"> первого») разработана целая линейка маршрутов и предложений включая </w:t>
      </w:r>
      <w:r w:rsidRPr="002B67C3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lastRenderedPageBreak/>
        <w:t xml:space="preserve">водные прогулки и активные виды туризма с использованием ресурсов приазовской рекреации. </w:t>
      </w:r>
    </w:p>
    <w:p w:rsidR="00076CAA" w:rsidRPr="004A6DA8" w:rsidRDefault="00076CAA" w:rsidP="00076CAA">
      <w:pPr>
        <w:pStyle w:val="Default"/>
        <w:spacing w:line="276" w:lineRule="auto"/>
        <w:ind w:firstLine="708"/>
        <w:jc w:val="both"/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</w:pPr>
      <w:r w:rsidRPr="004A6DA8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 xml:space="preserve">Ежегодно город принимает участие в конкурсах, которые способствуют популяризации его туристического потенциала.  </w:t>
      </w:r>
    </w:p>
    <w:p w:rsidR="00076CAA" w:rsidRPr="004A6DA8" w:rsidRDefault="00076CAA" w:rsidP="00076CAA">
      <w:pPr>
        <w:pStyle w:val="Default"/>
        <w:spacing w:line="276" w:lineRule="auto"/>
        <w:ind w:firstLine="708"/>
        <w:jc w:val="both"/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</w:pPr>
      <w:r w:rsidRPr="004A6DA8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>Флагманом культурно-познавательного туризма остается Азовский музей-заповедник.</w:t>
      </w:r>
    </w:p>
    <w:p w:rsidR="00076CAA" w:rsidRPr="004A6DA8" w:rsidRDefault="00076CAA" w:rsidP="00076CAA">
      <w:pPr>
        <w:pStyle w:val="Default"/>
        <w:spacing w:line="276" w:lineRule="auto"/>
        <w:ind w:firstLine="708"/>
        <w:jc w:val="both"/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</w:pPr>
      <w:r w:rsidRPr="004A6DA8">
        <w:rPr>
          <w:rFonts w:eastAsia="Calibri"/>
          <w:color w:val="auto"/>
          <w:sz w:val="28"/>
          <w:szCs w:val="28"/>
          <w:shd w:val="clear" w:color="auto" w:fill="FFFFFF"/>
          <w:lang w:eastAsia="en-US"/>
        </w:rPr>
        <w:t>Ресторан-музей «Крепостной вал» за всестороннее участие в развитии территории и повышению эффективности своей отрасли был удостоен включения в Федеральный Реестр «Всероссийская Книга Почёта».</w:t>
      </w:r>
    </w:p>
    <w:p w:rsidR="00BA298F" w:rsidRPr="00E15C9F" w:rsidRDefault="00BA298F" w:rsidP="00BA298F">
      <w:pPr>
        <w:pStyle w:val="a5"/>
        <w:spacing w:line="276" w:lineRule="auto"/>
        <w:ind w:firstLine="708"/>
        <w:jc w:val="both"/>
        <w:rPr>
          <w:bCs/>
          <w:szCs w:val="28"/>
        </w:rPr>
      </w:pPr>
      <w:r w:rsidRPr="00E15C9F">
        <w:rPr>
          <w:bCs/>
          <w:szCs w:val="28"/>
        </w:rPr>
        <w:t>С 2019 года проводилась совместная работа фонда инвестиционных строительных проектов (</w:t>
      </w:r>
      <w:proofErr w:type="gramStart"/>
      <w:r w:rsidRPr="00E15C9F">
        <w:rPr>
          <w:bCs/>
          <w:szCs w:val="28"/>
        </w:rPr>
        <w:t>ФИСП)  и</w:t>
      </w:r>
      <w:proofErr w:type="gramEnd"/>
      <w:r w:rsidRPr="00E15C9F">
        <w:rPr>
          <w:bCs/>
          <w:szCs w:val="28"/>
        </w:rPr>
        <w:t xml:space="preserve"> Администрации города Азова по реализации подпроекта «Повышение туристической привлекательности  города Азова  – стратегический фактор развития региона» в рамках  федерального проекта «Комплексное развитие территории и инфраструктуры  малых исторических поселений».</w:t>
      </w:r>
    </w:p>
    <w:p w:rsidR="00BA298F" w:rsidRPr="00E15C9F" w:rsidRDefault="00BA298F" w:rsidP="00BA298F">
      <w:pPr>
        <w:pStyle w:val="a5"/>
        <w:spacing w:line="276" w:lineRule="auto"/>
        <w:ind w:firstLine="708"/>
        <w:jc w:val="both"/>
        <w:rPr>
          <w:bCs/>
          <w:szCs w:val="28"/>
        </w:rPr>
      </w:pPr>
      <w:r w:rsidRPr="00E15C9F">
        <w:rPr>
          <w:bCs/>
          <w:szCs w:val="28"/>
        </w:rPr>
        <w:t>Согласно выписке из протокола заседания Межведомственной комиссии по реализации проекта «Комплексное развитие территории и инфраструктуры малых исторических поселений, 2-й этап</w:t>
      </w:r>
      <w:proofErr w:type="gramStart"/>
      <w:r w:rsidRPr="00E15C9F">
        <w:rPr>
          <w:bCs/>
          <w:szCs w:val="28"/>
        </w:rPr>
        <w:t>»</w:t>
      </w:r>
      <w:proofErr w:type="gramEnd"/>
      <w:r w:rsidRPr="00E15C9F">
        <w:rPr>
          <w:bCs/>
          <w:szCs w:val="28"/>
        </w:rPr>
        <w:t xml:space="preserve"> от 08.02.2022 №1 заявка по городу Азову принята. </w:t>
      </w:r>
    </w:p>
    <w:p w:rsidR="00BA298F" w:rsidRPr="00E15C9F" w:rsidRDefault="00BA298F" w:rsidP="00BA298F">
      <w:pPr>
        <w:pStyle w:val="a5"/>
        <w:spacing w:line="276" w:lineRule="auto"/>
        <w:ind w:firstLine="708"/>
        <w:jc w:val="both"/>
        <w:rPr>
          <w:bCs/>
          <w:szCs w:val="28"/>
        </w:rPr>
      </w:pPr>
      <w:r w:rsidRPr="00E15C9F">
        <w:rPr>
          <w:bCs/>
          <w:szCs w:val="28"/>
        </w:rPr>
        <w:t>Реализация подпроекта по городу Азову включает следующие мероприятия: объем и стоимость работ из средств займа, включая проектирование, археологию, реставрационные работы, внутренние инженерные сети, благоустройство, приобретение и монтаж технологического оборудования, прочие расходы.</w:t>
      </w:r>
    </w:p>
    <w:p w:rsidR="00BA298F" w:rsidRDefault="00BA298F" w:rsidP="00BA298F">
      <w:pPr>
        <w:pStyle w:val="a5"/>
        <w:spacing w:line="276" w:lineRule="auto"/>
        <w:ind w:firstLine="708"/>
        <w:jc w:val="both"/>
        <w:rPr>
          <w:bCs/>
          <w:szCs w:val="28"/>
        </w:rPr>
      </w:pPr>
      <w:r w:rsidRPr="00E15C9F">
        <w:rPr>
          <w:bCs/>
          <w:szCs w:val="28"/>
        </w:rPr>
        <w:t>В связи с отсутствием в настоящий момент согласованной с Новым банком развития схемы работы по займам на осуществление международных проектов работы по подпроекту временно остановлены.</w:t>
      </w:r>
    </w:p>
    <w:p w:rsidR="002958A8" w:rsidRPr="00F513B4" w:rsidRDefault="002958A8" w:rsidP="00B30FB3">
      <w:pPr>
        <w:pStyle w:val="a5"/>
        <w:spacing w:line="276" w:lineRule="auto"/>
        <w:ind w:firstLine="708"/>
        <w:jc w:val="both"/>
        <w:rPr>
          <w:iCs/>
          <w:szCs w:val="28"/>
          <w:highlight w:val="yellow"/>
        </w:rPr>
      </w:pPr>
    </w:p>
    <w:p w:rsidR="00226D35" w:rsidRPr="0080720E" w:rsidRDefault="00226D35" w:rsidP="00226D35">
      <w:pPr>
        <w:pStyle w:val="a5"/>
        <w:spacing w:line="276" w:lineRule="auto"/>
        <w:ind w:firstLine="708"/>
        <w:jc w:val="both"/>
        <w:rPr>
          <w:b/>
          <w:szCs w:val="28"/>
        </w:rPr>
      </w:pPr>
      <w:r w:rsidRPr="0080720E">
        <w:rPr>
          <w:b/>
          <w:szCs w:val="28"/>
        </w:rPr>
        <w:t>Спорт</w:t>
      </w:r>
    </w:p>
    <w:p w:rsidR="00226D35" w:rsidRPr="0080720E" w:rsidRDefault="00226D35" w:rsidP="00226D35">
      <w:pPr>
        <w:pStyle w:val="a5"/>
        <w:spacing w:line="276" w:lineRule="auto"/>
        <w:ind w:firstLine="708"/>
        <w:jc w:val="both"/>
        <w:rPr>
          <w:szCs w:val="28"/>
        </w:rPr>
      </w:pPr>
      <w:r w:rsidRPr="0080720E">
        <w:rPr>
          <w:szCs w:val="28"/>
        </w:rPr>
        <w:t>В 202</w:t>
      </w:r>
      <w:r w:rsidR="006A2020" w:rsidRPr="0080720E">
        <w:rPr>
          <w:szCs w:val="28"/>
        </w:rPr>
        <w:t>3</w:t>
      </w:r>
      <w:r w:rsidRPr="0080720E">
        <w:rPr>
          <w:szCs w:val="28"/>
        </w:rPr>
        <w:t xml:space="preserve"> году реализован комплекс мероприятий, определенный </w:t>
      </w:r>
      <w:r w:rsidRPr="0080720E">
        <w:rPr>
          <w:iCs/>
          <w:szCs w:val="28"/>
        </w:rPr>
        <w:t xml:space="preserve">муниципальной программой города Азова </w:t>
      </w:r>
      <w:r w:rsidRPr="0080720E">
        <w:rPr>
          <w:szCs w:val="28"/>
        </w:rPr>
        <w:t>«Развитие физической культуры и спорта в городе Азове» в результате которых:</w:t>
      </w:r>
    </w:p>
    <w:p w:rsidR="006A2020" w:rsidRPr="0080720E" w:rsidRDefault="006A2020" w:rsidP="006A2020">
      <w:pPr>
        <w:pStyle w:val="a5"/>
        <w:spacing w:line="276" w:lineRule="auto"/>
        <w:ind w:firstLine="708"/>
        <w:jc w:val="both"/>
        <w:rPr>
          <w:szCs w:val="28"/>
        </w:rPr>
      </w:pPr>
      <w:r w:rsidRPr="0080720E">
        <w:rPr>
          <w:szCs w:val="28"/>
        </w:rPr>
        <w:t>- доля граждан города Азова, систематически занимающихся физической культурой и спортом из общего числа населения, составила 5</w:t>
      </w:r>
      <w:r w:rsidR="0080720E" w:rsidRPr="0080720E">
        <w:rPr>
          <w:szCs w:val="28"/>
        </w:rPr>
        <w:t>8,8</w:t>
      </w:r>
      <w:r w:rsidRPr="0080720E">
        <w:rPr>
          <w:szCs w:val="28"/>
        </w:rPr>
        <w:t xml:space="preserve">% или </w:t>
      </w:r>
      <w:r w:rsidRPr="0080720E">
        <w:t xml:space="preserve">3375 </w:t>
      </w:r>
      <w:proofErr w:type="gramStart"/>
      <w:r w:rsidRPr="0080720E">
        <w:t>чел</w:t>
      </w:r>
      <w:proofErr w:type="gramEnd"/>
      <w:r w:rsidRPr="0080720E">
        <w:rPr>
          <w:szCs w:val="28"/>
        </w:rPr>
        <w:t>;</w:t>
      </w:r>
    </w:p>
    <w:p w:rsidR="006A2020" w:rsidRPr="0080720E" w:rsidRDefault="006A2020" w:rsidP="006A2020">
      <w:pPr>
        <w:pStyle w:val="a5"/>
        <w:spacing w:line="276" w:lineRule="auto"/>
        <w:ind w:firstLine="708"/>
        <w:jc w:val="both"/>
        <w:rPr>
          <w:szCs w:val="28"/>
        </w:rPr>
      </w:pPr>
      <w:r w:rsidRPr="0080720E">
        <w:rPr>
          <w:szCs w:val="28"/>
        </w:rPr>
        <w:t>- число участников и зрителей спортивных мероприятий составило 1</w:t>
      </w:r>
      <w:r w:rsidR="0080720E" w:rsidRPr="0080720E">
        <w:rPr>
          <w:szCs w:val="28"/>
        </w:rPr>
        <w:t>5129</w:t>
      </w:r>
      <w:r w:rsidRPr="0080720E">
        <w:rPr>
          <w:szCs w:val="28"/>
        </w:rPr>
        <w:t xml:space="preserve"> чел.;</w:t>
      </w:r>
    </w:p>
    <w:p w:rsidR="006A2020" w:rsidRPr="0080720E" w:rsidRDefault="006A2020" w:rsidP="006A2020">
      <w:pPr>
        <w:pStyle w:val="a5"/>
        <w:spacing w:line="276" w:lineRule="auto"/>
        <w:ind w:firstLine="708"/>
        <w:jc w:val="both"/>
        <w:rPr>
          <w:szCs w:val="28"/>
        </w:rPr>
      </w:pPr>
      <w:r w:rsidRPr="0080720E">
        <w:rPr>
          <w:szCs w:val="28"/>
        </w:rPr>
        <w:t xml:space="preserve">- доля населения, выполнившего нормативы Всероссийского физкультурно-спортивного комплекса «Готов к труду и обороне» (ГТО), в </w:t>
      </w:r>
      <w:r w:rsidRPr="0080720E">
        <w:rPr>
          <w:szCs w:val="28"/>
        </w:rPr>
        <w:lastRenderedPageBreak/>
        <w:t xml:space="preserve">общей численности населения, принявшего участие в сдаче нормативов Всероссийского физкультурно-спортивного комплекса «Готов к труду и обороне» (ГТО), составила </w:t>
      </w:r>
      <w:r w:rsidR="0080720E" w:rsidRPr="0080720E">
        <w:rPr>
          <w:szCs w:val="28"/>
        </w:rPr>
        <w:t>47,25</w:t>
      </w:r>
      <w:r w:rsidRPr="0080720E">
        <w:rPr>
          <w:szCs w:val="28"/>
        </w:rPr>
        <w:t>%;</w:t>
      </w:r>
    </w:p>
    <w:p w:rsidR="006A2020" w:rsidRPr="00D3290B" w:rsidRDefault="006A2020" w:rsidP="006A2020">
      <w:pPr>
        <w:pStyle w:val="a5"/>
        <w:spacing w:line="276" w:lineRule="auto"/>
        <w:ind w:firstLine="708"/>
        <w:jc w:val="both"/>
        <w:rPr>
          <w:szCs w:val="28"/>
        </w:rPr>
      </w:pPr>
      <w:r w:rsidRPr="00D3290B">
        <w:rPr>
          <w:szCs w:val="28"/>
        </w:rPr>
        <w:t>- уровень обеспеченности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инвалидов, составляет 51,7%;</w:t>
      </w:r>
    </w:p>
    <w:p w:rsidR="006A2020" w:rsidRPr="00BA4EBD" w:rsidRDefault="006A2020" w:rsidP="006A2020">
      <w:pPr>
        <w:pStyle w:val="a5"/>
        <w:spacing w:line="276" w:lineRule="auto"/>
        <w:ind w:firstLine="708"/>
        <w:jc w:val="both"/>
        <w:rPr>
          <w:szCs w:val="28"/>
        </w:rPr>
      </w:pPr>
      <w:r w:rsidRPr="00D3290B">
        <w:rPr>
          <w:szCs w:val="28"/>
        </w:rPr>
        <w:t>- 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составила 27,8%.</w:t>
      </w:r>
      <w:bookmarkStart w:id="0" w:name="_GoBack"/>
      <w:bookmarkEnd w:id="0"/>
    </w:p>
    <w:sectPr w:rsidR="006A2020" w:rsidRPr="00BA4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eeSans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20DFD"/>
    <w:multiLevelType w:val="hybridMultilevel"/>
    <w:tmpl w:val="CC28BCBC"/>
    <w:lvl w:ilvl="0" w:tplc="01927F3C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D6148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58EE6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46FAB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3837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4EBC1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98B86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C0D9B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FED18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2B15EDB"/>
    <w:multiLevelType w:val="hybridMultilevel"/>
    <w:tmpl w:val="7DD4B484"/>
    <w:lvl w:ilvl="0" w:tplc="BD5E48F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D6039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B2450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76F44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1E80D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DEA34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24110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FC5F2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606A4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301DA5"/>
    <w:multiLevelType w:val="hybridMultilevel"/>
    <w:tmpl w:val="F07C7B28"/>
    <w:lvl w:ilvl="0" w:tplc="0D6C3A58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B00D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0649D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A81D6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3699C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8ED0F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4C98F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2C39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884D1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1C8"/>
    <w:rsid w:val="00076CAA"/>
    <w:rsid w:val="00161C71"/>
    <w:rsid w:val="00195C62"/>
    <w:rsid w:val="001D6EAE"/>
    <w:rsid w:val="002118EE"/>
    <w:rsid w:val="00226D35"/>
    <w:rsid w:val="00233316"/>
    <w:rsid w:val="002958A8"/>
    <w:rsid w:val="00403190"/>
    <w:rsid w:val="00422D86"/>
    <w:rsid w:val="004439C1"/>
    <w:rsid w:val="004B379F"/>
    <w:rsid w:val="004F4B8E"/>
    <w:rsid w:val="005228E3"/>
    <w:rsid w:val="005353E5"/>
    <w:rsid w:val="00541471"/>
    <w:rsid w:val="005872B0"/>
    <w:rsid w:val="005A7CF5"/>
    <w:rsid w:val="005C2BE2"/>
    <w:rsid w:val="00606372"/>
    <w:rsid w:val="00690D6A"/>
    <w:rsid w:val="006A2020"/>
    <w:rsid w:val="0076376C"/>
    <w:rsid w:val="00781C5D"/>
    <w:rsid w:val="00801BD0"/>
    <w:rsid w:val="008038F0"/>
    <w:rsid w:val="0080720E"/>
    <w:rsid w:val="008343F6"/>
    <w:rsid w:val="00844F4F"/>
    <w:rsid w:val="00847486"/>
    <w:rsid w:val="00883B74"/>
    <w:rsid w:val="0096437C"/>
    <w:rsid w:val="009A36FA"/>
    <w:rsid w:val="009E414F"/>
    <w:rsid w:val="009E6F80"/>
    <w:rsid w:val="00AA55F2"/>
    <w:rsid w:val="00AC495E"/>
    <w:rsid w:val="00AD3A3C"/>
    <w:rsid w:val="00B30FB3"/>
    <w:rsid w:val="00B332E9"/>
    <w:rsid w:val="00B421C8"/>
    <w:rsid w:val="00B66648"/>
    <w:rsid w:val="00B83D68"/>
    <w:rsid w:val="00BA298F"/>
    <w:rsid w:val="00BA5114"/>
    <w:rsid w:val="00C74B9A"/>
    <w:rsid w:val="00CB032E"/>
    <w:rsid w:val="00D15137"/>
    <w:rsid w:val="00D2554C"/>
    <w:rsid w:val="00D3290B"/>
    <w:rsid w:val="00E026CF"/>
    <w:rsid w:val="00E77946"/>
    <w:rsid w:val="00EA7600"/>
    <w:rsid w:val="00EB1344"/>
    <w:rsid w:val="00EC32AE"/>
    <w:rsid w:val="00F22744"/>
    <w:rsid w:val="00F35F3F"/>
    <w:rsid w:val="00F513B4"/>
    <w:rsid w:val="00F77E10"/>
    <w:rsid w:val="00F86188"/>
    <w:rsid w:val="00F94A72"/>
    <w:rsid w:val="00F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4593C"/>
  <w15:chartTrackingRefBased/>
  <w15:docId w15:val="{6C2CEED4-F6ED-49E2-B829-DD4B5921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421C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"/>
    <w:basedOn w:val="a6"/>
    <w:uiPriority w:val="99"/>
    <w:rsid w:val="00B421C8"/>
    <w:pPr>
      <w:suppressAutoHyphens/>
      <w:spacing w:after="0"/>
      <w:jc w:val="center"/>
    </w:pPr>
    <w:rPr>
      <w:rFonts w:eastAsia="Calibri" w:cs="FreeSans"/>
      <w:kern w:val="1"/>
      <w:sz w:val="28"/>
    </w:rPr>
  </w:style>
  <w:style w:type="character" w:customStyle="1" w:styleId="a4">
    <w:name w:val="Без интервала Знак"/>
    <w:link w:val="a3"/>
    <w:uiPriority w:val="99"/>
    <w:locked/>
    <w:rsid w:val="00B421C8"/>
    <w:rPr>
      <w:rFonts w:ascii="Calibri" w:eastAsia="Calibri" w:hAnsi="Calibri" w:cs="Times New Roman"/>
      <w:lang w:eastAsia="en-US"/>
    </w:rPr>
  </w:style>
  <w:style w:type="paragraph" w:styleId="a6">
    <w:name w:val="Body Text"/>
    <w:basedOn w:val="a"/>
    <w:link w:val="a7"/>
    <w:uiPriority w:val="99"/>
    <w:semiHidden/>
    <w:unhideWhenUsed/>
    <w:rsid w:val="00B421C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421C8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qFormat/>
    <w:rsid w:val="00BA51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8">
    <w:name w:val="Основной текст_"/>
    <w:link w:val="4"/>
    <w:rsid w:val="00BA5114"/>
    <w:rPr>
      <w:sz w:val="28"/>
      <w:szCs w:val="28"/>
      <w:shd w:val="clear" w:color="auto" w:fill="FFFFFF"/>
    </w:rPr>
  </w:style>
  <w:style w:type="paragraph" w:customStyle="1" w:styleId="4">
    <w:name w:val="Основной текст4"/>
    <w:basedOn w:val="a"/>
    <w:link w:val="a8"/>
    <w:rsid w:val="00BA5114"/>
    <w:pPr>
      <w:shd w:val="clear" w:color="auto" w:fill="FFFFFF"/>
      <w:spacing w:after="240" w:line="317" w:lineRule="exact"/>
      <w:ind w:hanging="720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43">
    <w:name w:val="Основной текст (43) + Не курсив"/>
    <w:uiPriority w:val="99"/>
    <w:rsid w:val="009E414F"/>
    <w:rPr>
      <w:rFonts w:ascii="Times New Roman" w:hAnsi="Times New Roman" w:cs="Times New Roman" w:hint="default"/>
      <w:i/>
      <w:iCs w:val="0"/>
      <w:spacing w:val="0"/>
      <w:sz w:val="28"/>
    </w:rPr>
  </w:style>
  <w:style w:type="paragraph" w:styleId="a9">
    <w:name w:val="List Paragraph"/>
    <w:aliases w:val="ПАРАГРАФ,Абзац списка для документа"/>
    <w:basedOn w:val="a"/>
    <w:link w:val="aa"/>
    <w:uiPriority w:val="99"/>
    <w:qFormat/>
    <w:rsid w:val="00F77E10"/>
    <w:pPr>
      <w:ind w:left="720"/>
      <w:contextualSpacing/>
    </w:pPr>
    <w:rPr>
      <w:rFonts w:ascii="Calibri" w:hAnsi="Calibri"/>
      <w:szCs w:val="20"/>
    </w:rPr>
  </w:style>
  <w:style w:type="character" w:customStyle="1" w:styleId="aa">
    <w:name w:val="Абзац списка Знак"/>
    <w:aliases w:val="ПАРАГРАФ Знак,Абзац списка для документа Знак"/>
    <w:link w:val="a9"/>
    <w:uiPriority w:val="99"/>
    <w:locked/>
    <w:rsid w:val="00F77E10"/>
    <w:rPr>
      <w:rFonts w:ascii="Calibri" w:eastAsia="Times New Roman" w:hAnsi="Calibri" w:cs="Times New Roman"/>
      <w:sz w:val="24"/>
      <w:szCs w:val="20"/>
    </w:rPr>
  </w:style>
  <w:style w:type="paragraph" w:styleId="ab">
    <w:name w:val="Normal (Web)"/>
    <w:basedOn w:val="a"/>
    <w:uiPriority w:val="99"/>
    <w:unhideWhenUsed/>
    <w:rsid w:val="00D1513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1772</TotalTime>
  <Pages>6</Pages>
  <Words>1652</Words>
  <Characters>9418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Кирилова Елена Анатольевна</dc:creator>
  <cp:keywords/>
  <dc:description/>
  <cp:lastModifiedBy>Кирилова Елена Анатольевна</cp:lastModifiedBy>
  <cp:revision>48</cp:revision>
  <dcterms:created xsi:type="dcterms:W3CDTF">2021-10-28T13:03:00Z</dcterms:created>
  <dcterms:modified xsi:type="dcterms:W3CDTF">2025-10-03T09:30:00Z</dcterms:modified>
</cp:coreProperties>
</file>