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A69" w:rsidRPr="00643A69" w:rsidRDefault="00643A69" w:rsidP="00643A69">
      <w:pPr>
        <w:ind w:left="23" w:right="0"/>
        <w:jc w:val="center"/>
        <w:rPr>
          <w:b/>
        </w:rPr>
      </w:pPr>
      <w:r w:rsidRPr="00643A69">
        <w:rPr>
          <w:b/>
        </w:rPr>
        <w:t>Бюджет города Азова</w:t>
      </w:r>
    </w:p>
    <w:p w:rsidR="00643A69" w:rsidRDefault="00643A69" w:rsidP="00643A69">
      <w:pPr>
        <w:ind w:left="23" w:right="0"/>
      </w:pPr>
    </w:p>
    <w:p w:rsidR="00643A69" w:rsidRDefault="00643A69" w:rsidP="00643A69">
      <w:pPr>
        <w:ind w:left="23" w:right="0"/>
      </w:pPr>
      <w:r>
        <w:t xml:space="preserve">Исполнение бюджета города Азова за 2024 год составило по доходам в сумме 5 522 595,3 тыс. рублей, или 102,3 процента к годовому плану, и по расходам в сумме 5 433 115,3 тыс. рублей, или 99,1 процента к плану года. По результатам исполнения бюджета города сложился профицит в сумме 89 480,0 тыс. руб.  </w:t>
      </w:r>
    </w:p>
    <w:p w:rsidR="00643A69" w:rsidRDefault="00643A69" w:rsidP="00643A69">
      <w:pPr>
        <w:ind w:left="23" w:right="0"/>
      </w:pPr>
      <w:r>
        <w:t xml:space="preserve">Налоговые и неналоговые доходы бюджета города исполнены в сумме 1 325 169,9 тыс. рублей или 115,8 процента к годовым плановым назначениям. </w:t>
      </w:r>
    </w:p>
    <w:p w:rsidR="00643A69" w:rsidRDefault="00643A69" w:rsidP="00643A69">
      <w:pPr>
        <w:ind w:left="738" w:right="0" w:firstLine="0"/>
      </w:pPr>
      <w:r>
        <w:t xml:space="preserve">Наибольший удельный вес в их структуре занимают:  </w:t>
      </w:r>
    </w:p>
    <w:p w:rsidR="00643A69" w:rsidRDefault="00643A69" w:rsidP="00643A69">
      <w:pPr>
        <w:numPr>
          <w:ilvl w:val="0"/>
          <w:numId w:val="1"/>
        </w:numPr>
        <w:ind w:left="0" w:right="0"/>
      </w:pPr>
      <w:r>
        <w:t xml:space="preserve">налог на доходы физических лиц – 734 954,2 тыс. руб. или 55,5 %; </w:t>
      </w:r>
    </w:p>
    <w:p w:rsidR="00643A69" w:rsidRDefault="00643A69" w:rsidP="00643A69">
      <w:pPr>
        <w:numPr>
          <w:ilvl w:val="0"/>
          <w:numId w:val="1"/>
        </w:numPr>
        <w:ind w:left="0" w:right="0"/>
      </w:pPr>
      <w:r>
        <w:t xml:space="preserve">земельный налог – 166 283,9 тыс. руб. или 12,5 %; </w:t>
      </w:r>
    </w:p>
    <w:p w:rsidR="00643A69" w:rsidRDefault="00643A69" w:rsidP="00643A69">
      <w:pPr>
        <w:numPr>
          <w:ilvl w:val="0"/>
          <w:numId w:val="1"/>
        </w:numPr>
        <w:ind w:left="0" w:right="0"/>
      </w:pPr>
      <w:r>
        <w:t xml:space="preserve">транспортный налог – 82 306,4 тыс. руб. или 6,2 %; </w:t>
      </w:r>
    </w:p>
    <w:p w:rsidR="00643A69" w:rsidRDefault="00643A69" w:rsidP="00643A69">
      <w:pPr>
        <w:numPr>
          <w:ilvl w:val="0"/>
          <w:numId w:val="1"/>
        </w:numPr>
        <w:ind w:left="0" w:right="0"/>
      </w:pPr>
      <w:r>
        <w:t xml:space="preserve"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 – 79 220,1 тыс. руб. или 6,0 %. </w:t>
      </w:r>
    </w:p>
    <w:p w:rsidR="00643A69" w:rsidRDefault="00643A69" w:rsidP="00643A69">
      <w:pPr>
        <w:ind w:left="23" w:right="0"/>
      </w:pPr>
      <w:r>
        <w:t xml:space="preserve">Объем безвозмездных поступлений из областного бюджета за 2024 год составил 4 197 425,4 тыс. рублей.  </w:t>
      </w:r>
    </w:p>
    <w:p w:rsidR="00643A69" w:rsidRDefault="00643A69" w:rsidP="00643A69">
      <w:pPr>
        <w:ind w:left="23" w:right="0"/>
      </w:pPr>
      <w:r>
        <w:t xml:space="preserve">Бюджетная политика в сфере расходов бюджета города была направлена на решение социальных и экономических задач города. Приоритетом являлось обеспечение населения услугами отраслей социальной сферы.  </w:t>
      </w:r>
    </w:p>
    <w:p w:rsidR="00643A69" w:rsidRDefault="00643A69" w:rsidP="00643A69">
      <w:pPr>
        <w:ind w:left="23" w:right="0"/>
      </w:pPr>
      <w:r>
        <w:t xml:space="preserve">На финансирование отраслей социальной сферы, включая расходы на финансовое обеспечение муниципального задания подведомственными учреждениями, за 2024 год направлено 4 101 774,1 тыс. рублей. </w:t>
      </w:r>
    </w:p>
    <w:p w:rsidR="00643A69" w:rsidRDefault="00643A69" w:rsidP="00643A69">
      <w:pPr>
        <w:ind w:left="23" w:right="0"/>
      </w:pPr>
      <w:r>
        <w:t xml:space="preserve">Расходы на образование, социальную политику, культуру и кинематографию, физическую культуру и спорт, здравоохранение составили 75,5 процента всех расходов бюджета города за 2024 год.  </w:t>
      </w:r>
    </w:p>
    <w:p w:rsidR="00643A69" w:rsidRDefault="00643A69" w:rsidP="00643A69">
      <w:pPr>
        <w:ind w:left="23" w:right="0"/>
      </w:pPr>
      <w:r>
        <w:t xml:space="preserve">Расходы бюджета города на реализацию 20 муниципальных программ за 2024 год исполнены в сумме 5 151 518,0 тыс. руб., что составило 94,8 процента всех расходов бюджета города.  </w:t>
      </w:r>
    </w:p>
    <w:p w:rsidR="00643A69" w:rsidRDefault="00643A69" w:rsidP="00643A69">
      <w:pPr>
        <w:ind w:left="23" w:right="0"/>
      </w:pPr>
      <w:r>
        <w:t xml:space="preserve">Просроченная кредиторская задолженность бюджета города Азова за 2024 год, в том числе по долговым обязательствам, отсутствует.  </w:t>
      </w:r>
    </w:p>
    <w:p w:rsidR="005C2BE2" w:rsidRDefault="005C2BE2">
      <w:bookmarkStart w:id="0" w:name="_GoBack"/>
      <w:bookmarkEnd w:id="0"/>
    </w:p>
    <w:sectPr w:rsidR="005C2B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98338B"/>
    <w:multiLevelType w:val="hybridMultilevel"/>
    <w:tmpl w:val="2638A21A"/>
    <w:lvl w:ilvl="0" w:tplc="65C82BE8">
      <w:start w:val="1"/>
      <w:numFmt w:val="bullet"/>
      <w:lvlText w:val="-"/>
      <w:lvlJc w:val="left"/>
      <w:pPr>
        <w:ind w:left="7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C968579A">
      <w:start w:val="1"/>
      <w:numFmt w:val="bullet"/>
      <w:lvlText w:val="o"/>
      <w:lvlJc w:val="left"/>
      <w:pPr>
        <w:ind w:left="18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32D6C25E">
      <w:start w:val="1"/>
      <w:numFmt w:val="bullet"/>
      <w:lvlText w:val="▪"/>
      <w:lvlJc w:val="left"/>
      <w:pPr>
        <w:ind w:left="25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0E726D68">
      <w:start w:val="1"/>
      <w:numFmt w:val="bullet"/>
      <w:lvlText w:val="•"/>
      <w:lvlJc w:val="left"/>
      <w:pPr>
        <w:ind w:left="32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53EBB9C">
      <w:start w:val="1"/>
      <w:numFmt w:val="bullet"/>
      <w:lvlText w:val="o"/>
      <w:lvlJc w:val="left"/>
      <w:pPr>
        <w:ind w:left="39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04CEB43A">
      <w:start w:val="1"/>
      <w:numFmt w:val="bullet"/>
      <w:lvlText w:val="▪"/>
      <w:lvlJc w:val="left"/>
      <w:pPr>
        <w:ind w:left="46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9E082F94">
      <w:start w:val="1"/>
      <w:numFmt w:val="bullet"/>
      <w:lvlText w:val="•"/>
      <w:lvlJc w:val="left"/>
      <w:pPr>
        <w:ind w:left="54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9D240BA6">
      <w:start w:val="1"/>
      <w:numFmt w:val="bullet"/>
      <w:lvlText w:val="o"/>
      <w:lvlJc w:val="left"/>
      <w:pPr>
        <w:ind w:left="61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32E250D4">
      <w:start w:val="1"/>
      <w:numFmt w:val="bullet"/>
      <w:lvlText w:val="▪"/>
      <w:lvlJc w:val="left"/>
      <w:pPr>
        <w:ind w:left="68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A69"/>
    <w:rsid w:val="005C2BE2"/>
    <w:rsid w:val="00643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4CC58"/>
  <w15:chartTrackingRefBased/>
  <w15:docId w15:val="{9B03721D-ADBC-4808-8F9F-288B7034D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3A69"/>
    <w:pPr>
      <w:spacing w:after="3" w:line="247" w:lineRule="auto"/>
      <w:ind w:left="257" w:right="395" w:firstLine="69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98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285</Words>
  <Characters>1630</Characters>
  <Application>Microsoft Office Word</Application>
  <DocSecurity>0</DocSecurity>
  <Lines>13</Lines>
  <Paragraphs>3</Paragraphs>
  <ScaleCrop>false</ScaleCrop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Кирилова Елена Анатольевна</dc:creator>
  <cp:keywords/>
  <dc:description/>
  <cp:lastModifiedBy>Кирилова Елена Анатольевна</cp:lastModifiedBy>
  <cp:revision>1</cp:revision>
  <dcterms:created xsi:type="dcterms:W3CDTF">2025-09-23T08:59:00Z</dcterms:created>
  <dcterms:modified xsi:type="dcterms:W3CDTF">2025-09-23T09:03:00Z</dcterms:modified>
</cp:coreProperties>
</file>