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040"/>
        <w:gridCol w:w="4560"/>
      </w:tblGrid>
      <w:tr w:rsidR="00000000">
        <w:trPr>
          <w:trHeight w:val="4425"/>
        </w:trPr>
        <w:tc>
          <w:tcPr>
            <w:tcW w:w="5040" w:type="dxa"/>
            <w:shd w:val="clear" w:color="auto" w:fill="auto"/>
          </w:tcPr>
          <w:p w:rsidR="00000000" w:rsidRDefault="00EC7A86">
            <w:pPr>
              <w:pStyle w:val="4"/>
              <w:numPr>
                <w:ilvl w:val="0"/>
                <w:numId w:val="0"/>
              </w:numPr>
              <w:snapToGrid w:val="0"/>
              <w:ind w:right="190"/>
              <w:rPr>
                <w:rFonts w:ascii="Cambria" w:hAnsi="Cambria" w:cs="Cambria"/>
              </w:rPr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3817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18" r="-26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95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535C">
            <w:pPr>
              <w:pStyle w:val="4"/>
              <w:numPr>
                <w:ilvl w:val="0"/>
                <w:numId w:val="0"/>
              </w:numPr>
              <w:tabs>
                <w:tab w:val="left" w:pos="4964"/>
              </w:tabs>
              <w:ind w:left="-108"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ДЕПАРТАМЕНТ</w:t>
            </w:r>
          </w:p>
          <w:p w:rsidR="00000000" w:rsidRDefault="008C535C">
            <w:pPr>
              <w:pStyle w:val="4"/>
              <w:numPr>
                <w:ilvl w:val="0"/>
                <w:numId w:val="0"/>
              </w:numPr>
              <w:tabs>
                <w:tab w:val="left" w:pos="4964"/>
              </w:tabs>
              <w:ind w:left="-108" w:right="-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ИМУЩЕСТВЕННО – ЗЕМЕЛЬНЫХ ОТНОШЕНИЙ</w:t>
            </w:r>
          </w:p>
          <w:p w:rsidR="00000000" w:rsidRDefault="008C535C">
            <w:pPr>
              <w:pStyle w:val="2"/>
              <w:numPr>
                <w:ilvl w:val="0"/>
                <w:numId w:val="0"/>
              </w:numPr>
              <w:tabs>
                <w:tab w:val="left" w:pos="4964"/>
              </w:tabs>
              <w:ind w:left="-108" w:right="-108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АДМИНИСТРАЦИИ ГОРОДА АЗОВА</w:t>
            </w:r>
          </w:p>
          <w:p w:rsidR="00000000" w:rsidRDefault="008C535C">
            <w:pPr>
              <w:pStyle w:val="2"/>
              <w:tabs>
                <w:tab w:val="left" w:pos="4964"/>
              </w:tabs>
              <w:ind w:left="-108" w:right="-108" w:firstLine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РОСТОВСКОЙ ОБЛАСТИ</w:t>
            </w:r>
          </w:p>
          <w:p w:rsidR="00000000" w:rsidRDefault="008C535C">
            <w:pPr>
              <w:ind w:right="190"/>
              <w:jc w:val="center"/>
              <w:rPr>
                <w:rFonts w:ascii="Cambria" w:hAnsi="Cambria" w:cs="Cambria"/>
              </w:rPr>
            </w:pPr>
          </w:p>
          <w:p w:rsidR="00000000" w:rsidRDefault="008C535C">
            <w:pPr>
              <w:ind w:right="190"/>
              <w:jc w:val="center"/>
            </w:pPr>
            <w:r>
              <w:t>346780, г. Азов,</w:t>
            </w:r>
          </w:p>
          <w:p w:rsidR="00000000" w:rsidRDefault="008C535C">
            <w:pPr>
              <w:ind w:right="190"/>
              <w:jc w:val="center"/>
            </w:pPr>
            <w:r>
              <w:t>ул. Пушкина, д. 27</w:t>
            </w:r>
          </w:p>
          <w:p w:rsidR="00000000" w:rsidRDefault="008C535C">
            <w:pPr>
              <w:ind w:right="190"/>
              <w:jc w:val="center"/>
            </w:pPr>
            <w:r>
              <w:t>тел.4-53-49, 4-09-93</w:t>
            </w:r>
          </w:p>
          <w:p w:rsidR="00000000" w:rsidRDefault="008C535C">
            <w:pPr>
              <w:ind w:right="190"/>
              <w:jc w:val="center"/>
              <w:rPr>
                <w:lang w:val="en-US"/>
              </w:rPr>
            </w:pPr>
            <w:r>
              <w:t>тел./факс 4-20-91</w:t>
            </w:r>
          </w:p>
          <w:p w:rsidR="00000000" w:rsidRDefault="008C535C">
            <w:pPr>
              <w:ind w:right="19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7" w:history="1">
              <w:r>
                <w:rPr>
                  <w:rStyle w:val="a4"/>
                </w:rPr>
                <w:t>azovkumi@</w:t>
              </w:r>
              <w:r>
                <w:rPr>
                  <w:rStyle w:val="a4"/>
                </w:rPr>
                <w:t>list.</w:t>
              </w:r>
              <w:r>
                <w:rPr>
                  <w:rStyle w:val="a4"/>
                </w:rPr>
                <w:t>u</w:t>
              </w:r>
            </w:hyperlink>
          </w:p>
          <w:p w:rsidR="00000000" w:rsidRDefault="008C535C">
            <w:pPr>
              <w:ind w:right="190"/>
              <w:jc w:val="center"/>
              <w:rPr>
                <w:rFonts w:eastAsia="Times New Roman"/>
              </w:rPr>
            </w:pPr>
            <w:r>
              <w:rPr>
                <w:lang w:val="en-US"/>
              </w:rPr>
              <w:t>\</w:t>
            </w:r>
          </w:p>
        </w:tc>
        <w:tc>
          <w:tcPr>
            <w:tcW w:w="4560" w:type="dxa"/>
            <w:shd w:val="clear" w:color="auto" w:fill="auto"/>
          </w:tcPr>
          <w:p w:rsidR="00000000" w:rsidRDefault="008C535C">
            <w:pPr>
              <w:snapToGrid w:val="0"/>
              <w:ind w:right="190"/>
              <w:rPr>
                <w:b/>
                <w:sz w:val="28"/>
              </w:rPr>
            </w:pPr>
            <w:r>
              <w:rPr>
                <w:rFonts w:eastAsia="Times New Roman"/>
              </w:rPr>
              <w:t xml:space="preserve"> </w:t>
            </w:r>
          </w:p>
          <w:p w:rsidR="00000000" w:rsidRDefault="008C535C">
            <w:pPr>
              <w:ind w:right="190"/>
              <w:rPr>
                <w:b/>
                <w:sz w:val="28"/>
              </w:rPr>
            </w:pPr>
          </w:p>
          <w:p w:rsidR="00000000" w:rsidRDefault="008C535C">
            <w:pPr>
              <w:ind w:right="190"/>
              <w:rPr>
                <w:b/>
                <w:sz w:val="28"/>
              </w:rPr>
            </w:pPr>
          </w:p>
          <w:p w:rsidR="00000000" w:rsidRDefault="008C535C">
            <w:pPr>
              <w:ind w:right="190"/>
              <w:rPr>
                <w:b/>
                <w:sz w:val="28"/>
                <w:szCs w:val="28"/>
              </w:rPr>
            </w:pPr>
          </w:p>
          <w:p w:rsidR="00000000" w:rsidRDefault="008C535C">
            <w:pPr>
              <w:ind w:right="190"/>
              <w:rPr>
                <w:b/>
                <w:sz w:val="28"/>
                <w:szCs w:val="28"/>
                <w:lang w:val="ru-RU"/>
              </w:rPr>
            </w:pPr>
          </w:p>
          <w:p w:rsidR="00000000" w:rsidRDefault="008C535C">
            <w:pPr>
              <w:spacing w:line="360" w:lineRule="auto"/>
              <w:ind w:right="19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00000" w:rsidRDefault="008C535C">
      <w:pPr>
        <w:pStyle w:val="Normal"/>
        <w:jc w:val="center"/>
      </w:pPr>
    </w:p>
    <w:p w:rsidR="00000000" w:rsidRDefault="008C535C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СВОДНЫЙ ОТ</w:t>
      </w:r>
      <w:r>
        <w:rPr>
          <w:sz w:val="28"/>
          <w:szCs w:val="28"/>
        </w:rPr>
        <w:t xml:space="preserve">ЧЕТ </w:t>
      </w:r>
    </w:p>
    <w:p w:rsidR="00000000" w:rsidRDefault="008C535C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оценки регулирующего воздействия </w:t>
      </w:r>
    </w:p>
    <w:p w:rsidR="00000000" w:rsidRDefault="008C535C">
      <w:pPr>
        <w:pStyle w:val="Normal"/>
        <w:jc w:val="center"/>
        <w:rPr>
          <w:rFonts w:eastAsia="Times New Roman" w:cs="Times New Roman"/>
          <w:bCs/>
          <w:i/>
          <w:sz w:val="28"/>
          <w:szCs w:val="28"/>
        </w:rPr>
      </w:pPr>
      <w:r>
        <w:rPr>
          <w:sz w:val="28"/>
          <w:szCs w:val="28"/>
        </w:rPr>
        <w:t xml:space="preserve">нормативно правового акта (НПА)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«</w:t>
      </w:r>
      <w:r>
        <w:rPr>
          <w:rFonts w:eastAsia="Arial" w:cs="Arial"/>
          <w:bCs/>
          <w:spacing w:val="2"/>
          <w:sz w:val="28"/>
          <w:szCs w:val="28"/>
          <w:shd w:val="clear" w:color="auto" w:fill="FFFFFF"/>
        </w:rPr>
        <w:t xml:space="preserve">О внесении изменений в постановление Администрации города Азова от </w:t>
      </w:r>
      <w:r>
        <w:rPr>
          <w:rFonts w:ascii="Times New Roman CYR" w:eastAsia="Arial" w:hAnsi="Times New Roman CYR" w:cs="Times New Roman CYR"/>
          <w:bCs/>
          <w:spacing w:val="2"/>
          <w:sz w:val="28"/>
          <w:szCs w:val="28"/>
          <w:shd w:val="clear" w:color="auto" w:fill="FFFFFF"/>
        </w:rPr>
        <w:t>05.06.2018 № 1261</w:t>
      </w:r>
      <w:r>
        <w:rPr>
          <w:bCs/>
          <w:sz w:val="28"/>
          <w:szCs w:val="28"/>
        </w:rPr>
        <w:t>»</w:t>
      </w:r>
    </w:p>
    <w:p w:rsidR="00000000" w:rsidRDefault="008C535C">
      <w:pPr>
        <w:pStyle w:val="a8"/>
        <w:ind w:firstLine="709"/>
        <w:jc w:val="both"/>
        <w:rPr>
          <w:rFonts w:eastAsia="Times New Roman"/>
          <w:bCs/>
          <w:i/>
          <w:sz w:val="28"/>
          <w:szCs w:val="28"/>
        </w:rPr>
      </w:pP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Степень регулирующего воздействия проекта НПА.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регулирующего воздействи</w:t>
      </w:r>
      <w:r>
        <w:rPr>
          <w:sz w:val="28"/>
          <w:szCs w:val="28"/>
        </w:rPr>
        <w:t xml:space="preserve">я проекта нормативного правового акта - </w:t>
      </w:r>
      <w:r>
        <w:rPr>
          <w:sz w:val="28"/>
          <w:szCs w:val="28"/>
          <w:lang w:val="ru-RU"/>
        </w:rPr>
        <w:t>низкая</w:t>
      </w:r>
      <w:r>
        <w:rPr>
          <w:sz w:val="28"/>
          <w:szCs w:val="28"/>
        </w:rPr>
        <w:t xml:space="preserve">. В связи с тем, что проект НПА </w:t>
      </w:r>
      <w:r>
        <w:rPr>
          <w:sz w:val="28"/>
          <w:szCs w:val="28"/>
          <w:lang w:val="ru-RU"/>
        </w:rPr>
        <w:t xml:space="preserve">не </w:t>
      </w:r>
      <w:r>
        <w:rPr>
          <w:sz w:val="28"/>
          <w:szCs w:val="28"/>
        </w:rPr>
        <w:t>содержит положения, изменяющие ранее предусмотренные НПА обязанности, запреты и ограничения для субъектов предпринимательской, инвестиционной деятельности или способствующие и</w:t>
      </w:r>
      <w:r>
        <w:rPr>
          <w:sz w:val="28"/>
          <w:szCs w:val="28"/>
        </w:rPr>
        <w:t xml:space="preserve">х установлению.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проблемы. </w:t>
      </w:r>
    </w:p>
    <w:p w:rsidR="00000000" w:rsidRDefault="008C535C">
      <w:pPr>
        <w:pStyle w:val="a8"/>
        <w:ind w:right="-1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НПА предлагается </w:t>
      </w:r>
      <w:r>
        <w:rPr>
          <w:sz w:val="28"/>
          <w:szCs w:val="28"/>
        </w:rPr>
        <w:t>упрощение порядка предоставления права на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размещение нестационарных объектов на территории муниципального образования «Город Азов».</w:t>
      </w:r>
    </w:p>
    <w:p w:rsidR="00000000" w:rsidRDefault="008C535C">
      <w:pPr>
        <w:pStyle w:val="a8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</w:rPr>
        <w:t xml:space="preserve">3. Цели предлагаемого правового регулирования. </w:t>
      </w:r>
    </w:p>
    <w:p w:rsidR="00000000" w:rsidRDefault="008C535C">
      <w:pPr>
        <w:pStyle w:val="a8"/>
        <w:ind w:right="-10" w:firstLine="71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  <w:lang w:val="ru-RU"/>
        </w:rPr>
        <w:t>И</w:t>
      </w:r>
      <w:r>
        <w:rPr>
          <w:color w:val="000000"/>
          <w:spacing w:val="2"/>
          <w:sz w:val="28"/>
          <w:szCs w:val="28"/>
          <w:shd w:val="clear" w:color="auto" w:fill="FFFFFF"/>
        </w:rPr>
        <w:t>сключение</w:t>
      </w:r>
      <w:r>
        <w:rPr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способа осуществления торгов в виде конкурса на  предоставление права на  размещение нестационарных объек</w:t>
      </w:r>
      <w:r>
        <w:rPr>
          <w:color w:val="000000"/>
          <w:spacing w:val="2"/>
          <w:sz w:val="28"/>
          <w:szCs w:val="28"/>
          <w:shd w:val="clear" w:color="auto" w:fill="FFFFFF"/>
        </w:rPr>
        <w:t>тов на территории муниципального образования «Город Азов».</w:t>
      </w:r>
    </w:p>
    <w:p w:rsidR="00000000" w:rsidRDefault="008C535C">
      <w:pPr>
        <w:pStyle w:val="a8"/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</w:rPr>
        <w:t xml:space="preserve">4. Описание предлагаемого правового регулирования и иных возможных способов решения проблемы. </w:t>
      </w:r>
    </w:p>
    <w:p w:rsidR="00000000" w:rsidRDefault="008C535C">
      <w:pPr>
        <w:pStyle w:val="Normal"/>
        <w:ind w:right="-10"/>
        <w:jc w:val="both"/>
      </w:pPr>
      <w:r>
        <w:rPr>
          <w:bCs/>
          <w:spacing w:val="2"/>
          <w:sz w:val="28"/>
          <w:szCs w:val="28"/>
          <w:shd w:val="clear" w:color="auto" w:fill="FFFFFF"/>
        </w:rPr>
        <w:t xml:space="preserve">Усовершенствование размещения </w:t>
      </w:r>
      <w:r>
        <w:rPr>
          <w:bCs/>
          <w:spacing w:val="2"/>
          <w:sz w:val="28"/>
          <w:szCs w:val="28"/>
          <w:shd w:val="clear" w:color="auto" w:fill="FFFFFF"/>
        </w:rPr>
        <w:t>нестационарн</w:t>
      </w:r>
      <w:r>
        <w:rPr>
          <w:bCs/>
          <w:spacing w:val="2"/>
          <w:sz w:val="28"/>
          <w:szCs w:val="28"/>
          <w:shd w:val="clear" w:color="auto" w:fill="FFFFFF"/>
        </w:rPr>
        <w:t>ых</w:t>
      </w:r>
      <w:r>
        <w:rPr>
          <w:bCs/>
          <w:spacing w:val="2"/>
          <w:sz w:val="28"/>
          <w:szCs w:val="28"/>
          <w:shd w:val="clear" w:color="auto" w:fill="FFFFFF"/>
        </w:rPr>
        <w:t xml:space="preserve"> торгов</w:t>
      </w:r>
      <w:r>
        <w:rPr>
          <w:bCs/>
          <w:spacing w:val="2"/>
          <w:sz w:val="28"/>
          <w:szCs w:val="28"/>
          <w:shd w:val="clear" w:color="auto" w:fill="FFFFFF"/>
        </w:rPr>
        <w:t>ых объектов</w:t>
      </w:r>
      <w:r>
        <w:rPr>
          <w:bCs/>
          <w:spacing w:val="2"/>
          <w:sz w:val="28"/>
          <w:szCs w:val="28"/>
          <w:shd w:val="clear" w:color="auto" w:fill="FFFFFF"/>
        </w:rPr>
        <w:t xml:space="preserve"> на территории муниципального образовани</w:t>
      </w:r>
      <w:r>
        <w:rPr>
          <w:bCs/>
          <w:spacing w:val="2"/>
          <w:sz w:val="28"/>
          <w:szCs w:val="28"/>
          <w:shd w:val="clear" w:color="auto" w:fill="FFFFFF"/>
        </w:rPr>
        <w:t>я «Город Азов».</w:t>
      </w:r>
    </w:p>
    <w:p w:rsidR="00000000" w:rsidRDefault="008C535C">
      <w:pPr>
        <w:pStyle w:val="Normal"/>
        <w:ind w:right="-10"/>
        <w:jc w:val="both"/>
      </w:pP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Основные группы субъектов предпринимательской и инвестиционной деятельности, иные заинтересованные лица, иные заинтересованные лица, интересы которых будут затронуты предлагаемым </w:t>
      </w:r>
      <w:r>
        <w:rPr>
          <w:sz w:val="28"/>
          <w:szCs w:val="28"/>
        </w:rPr>
        <w:lastRenderedPageBreak/>
        <w:t>правовым регулированием, оценка количества таких субъекто</w:t>
      </w:r>
      <w:r>
        <w:rPr>
          <w:sz w:val="28"/>
          <w:szCs w:val="28"/>
        </w:rPr>
        <w:t xml:space="preserve">в.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группы лиц, интересы которых будут затронуты предлагаемым правовым регулированием – хозяйствующие субъекты, осуществляющие, либо планирующие осуществлять деятельность в нестационарных торговых объектах и Администрация города.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6. Новые функции</w:t>
      </w:r>
      <w:r>
        <w:rPr>
          <w:sz w:val="28"/>
          <w:szCs w:val="28"/>
        </w:rPr>
        <w:t xml:space="preserve">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Отсутствуют.</w:t>
      </w:r>
    </w:p>
    <w:p w:rsidR="00000000" w:rsidRDefault="008C535C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7. Оценка соответствующих расходов (возможных поступлений) бюд</w:t>
      </w:r>
      <w:r>
        <w:rPr>
          <w:sz w:val="28"/>
          <w:szCs w:val="28"/>
        </w:rPr>
        <w:t xml:space="preserve">жета города.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Поступления платы за </w:t>
      </w:r>
      <w:r>
        <w:rPr>
          <w:sz w:val="28"/>
          <w:szCs w:val="28"/>
          <w:lang w:val="ru-RU"/>
        </w:rPr>
        <w:t xml:space="preserve">использование </w:t>
      </w:r>
      <w:r>
        <w:rPr>
          <w:sz w:val="28"/>
          <w:szCs w:val="28"/>
          <w:lang w:val="ru-RU"/>
        </w:rPr>
        <w:t>земельным участком под НТО.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>
        <w:rPr>
          <w:sz w:val="28"/>
          <w:szCs w:val="28"/>
        </w:rPr>
        <w:t xml:space="preserve">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новых обязанностей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исполнения, не предусмотрено.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9. Оценка </w:t>
      </w:r>
      <w:r>
        <w:rPr>
          <w:sz w:val="28"/>
          <w:szCs w:val="28"/>
        </w:rPr>
        <w:t>расходов субъектов предпринимательск</w:t>
      </w:r>
      <w:r>
        <w:rPr>
          <w:sz w:val="28"/>
          <w:szCs w:val="28"/>
        </w:rPr>
        <w:t xml:space="preserve">ой и инвестиционной деятельности, связанных с необходимостью соблюдения обязанностей, установленных предлагаемым правовым регулированием, либо с изменением содержания таких обязанностей.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асход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субъектов предпринимательской и инвестиционной деятельности,</w:t>
      </w:r>
      <w:r>
        <w:rPr>
          <w:sz w:val="28"/>
          <w:szCs w:val="28"/>
        </w:rPr>
        <w:t xml:space="preserve"> связанных с необходимостью соблюдения обязанностей, установленных предлагаемым правовым регулированием, либо с изменением содержания таких обязанностей, </w:t>
      </w:r>
      <w:r>
        <w:rPr>
          <w:sz w:val="28"/>
          <w:szCs w:val="28"/>
          <w:lang w:val="ru-RU"/>
        </w:rPr>
        <w:t>не предусмотрены.</w:t>
      </w:r>
      <w:r>
        <w:rPr>
          <w:sz w:val="28"/>
          <w:szCs w:val="28"/>
        </w:rPr>
        <w:t xml:space="preserve"> 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Риск решения проблемы предложенным способом правового регулирования и риск нег</w:t>
      </w:r>
      <w:r>
        <w:rPr>
          <w:sz w:val="28"/>
          <w:szCs w:val="28"/>
        </w:rPr>
        <w:t xml:space="preserve">ативных последствий.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Предполагаемая дата вступления в силу проекта НПА, оценка необходимости установления переходного периода и (или) отсрочки вступления в силу проекта НПА, либо необходимости распространения предлагаемого правового регу</w:t>
      </w:r>
      <w:r>
        <w:rPr>
          <w:sz w:val="28"/>
          <w:szCs w:val="28"/>
        </w:rPr>
        <w:t xml:space="preserve">лирования на ранее возникшие отношения.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дата вступления в силу проекта нормативного правового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акта – </w:t>
      </w:r>
      <w:r>
        <w:rPr>
          <w:sz w:val="28"/>
          <w:szCs w:val="28"/>
          <w:lang w:val="ru-RU"/>
        </w:rPr>
        <w:t>август</w:t>
      </w:r>
      <w:r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</w:rPr>
        <w:t xml:space="preserve">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переходного периода</w:t>
      </w:r>
      <w:r>
        <w:rPr>
          <w:sz w:val="28"/>
          <w:szCs w:val="28"/>
          <w:lang w:val="ru-RU"/>
        </w:rPr>
        <w:t>, отсутствует</w:t>
      </w:r>
      <w:r>
        <w:rPr>
          <w:sz w:val="28"/>
          <w:szCs w:val="28"/>
        </w:rPr>
        <w:t xml:space="preserve">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Описание методов контроля эффективности избранного способа достижен</w:t>
      </w:r>
      <w:r>
        <w:rPr>
          <w:sz w:val="28"/>
          <w:szCs w:val="28"/>
        </w:rPr>
        <w:t xml:space="preserve">ия цели правового регулирования.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использования земельных участков, находящихся в муниципальной собственности</w:t>
      </w:r>
      <w:r>
        <w:rPr>
          <w:sz w:val="28"/>
          <w:szCs w:val="28"/>
          <w:lang w:val="ru-RU"/>
        </w:rPr>
        <w:t xml:space="preserve"> и не разграниченные</w:t>
      </w:r>
      <w:r>
        <w:rPr>
          <w:sz w:val="28"/>
          <w:szCs w:val="28"/>
        </w:rPr>
        <w:t xml:space="preserve">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Необходимые для достижения заявленных целей правового </w:t>
      </w:r>
      <w:r>
        <w:rPr>
          <w:sz w:val="28"/>
          <w:szCs w:val="28"/>
        </w:rPr>
        <w:lastRenderedPageBreak/>
        <w:t>регулирования организационно-технические, методологич</w:t>
      </w:r>
      <w:r>
        <w:rPr>
          <w:sz w:val="28"/>
          <w:szCs w:val="28"/>
        </w:rPr>
        <w:t xml:space="preserve">еские, информационные и иные мероприятия.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мероприятия, связанные с публикацией информационных сообщений в средствах массовой информации и на официальном сайте Администрации города Азова в сети Интернет.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Индикативные показатели, програм</w:t>
      </w:r>
      <w:r>
        <w:rPr>
          <w:sz w:val="28"/>
          <w:szCs w:val="28"/>
        </w:rPr>
        <w:t xml:space="preserve">мы мониторинга и иные способы (методы) оценки достижения заявленных целей регулирования.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нестационарных торговых объектов, осуществляющих деятельность на территории города, включенных в </w:t>
      </w:r>
      <w:r>
        <w:rPr>
          <w:sz w:val="28"/>
          <w:szCs w:val="28"/>
          <w:lang w:val="ru-RU"/>
        </w:rPr>
        <w:t>План</w:t>
      </w:r>
      <w:r>
        <w:rPr>
          <w:sz w:val="28"/>
          <w:szCs w:val="28"/>
        </w:rPr>
        <w:t xml:space="preserve">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Сведения о размещении уведомления, сроках предс</w:t>
      </w:r>
      <w:r>
        <w:rPr>
          <w:sz w:val="28"/>
          <w:szCs w:val="28"/>
        </w:rPr>
        <w:t xml:space="preserve">тавления предложений, лицах, представивших предложения, и обобщенных результатах их рассмотрения разработчиком.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разработке проекта, о сроках и способах предоставления предложений размещено на официальном сайте Администрации города Азова в се</w:t>
      </w:r>
      <w:r>
        <w:rPr>
          <w:sz w:val="28"/>
          <w:szCs w:val="28"/>
        </w:rPr>
        <w:t>ти интернет (</w:t>
      </w:r>
      <w:hyperlink r:id="rId8" w:history="1">
        <w:r>
          <w:rPr>
            <w:rStyle w:val="a4"/>
          </w:rPr>
          <w:t>www.gorodazov.ru</w:t>
        </w:r>
      </w:hyperlink>
      <w:r>
        <w:rPr>
          <w:sz w:val="28"/>
          <w:szCs w:val="28"/>
          <w:u w:val="single"/>
          <w:lang w:val="ru-RU"/>
        </w:rPr>
        <w:t xml:space="preserve"> на странице  «Обращения граждан» в разделе «Оценка регулирующего воздействия»)</w:t>
      </w:r>
      <w:r>
        <w:rPr>
          <w:sz w:val="28"/>
          <w:szCs w:val="28"/>
        </w:rPr>
        <w:t xml:space="preserve">. </w:t>
      </w:r>
    </w:p>
    <w:p w:rsidR="00000000" w:rsidRDefault="008C535C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Сроки приёма предложений:</w:t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  <w:u w:val="single"/>
        </w:rPr>
        <w:t xml:space="preserve">c </w:t>
      </w:r>
      <w:r>
        <w:rPr>
          <w:rStyle w:val="a6"/>
          <w:sz w:val="28"/>
          <w:szCs w:val="28"/>
          <w:u w:val="single"/>
          <w:lang w:val="ru-RU"/>
        </w:rPr>
        <w:t>01</w:t>
      </w:r>
      <w:r>
        <w:rPr>
          <w:rStyle w:val="a6"/>
          <w:sz w:val="28"/>
          <w:szCs w:val="28"/>
          <w:u w:val="single"/>
          <w:lang w:val="en-US"/>
        </w:rPr>
        <w:t>.</w:t>
      </w:r>
      <w:r>
        <w:rPr>
          <w:rStyle w:val="a6"/>
          <w:sz w:val="28"/>
          <w:szCs w:val="28"/>
          <w:u w:val="single"/>
          <w:lang w:val="ru-RU"/>
        </w:rPr>
        <w:t>0</w:t>
      </w:r>
      <w:r>
        <w:rPr>
          <w:rStyle w:val="a6"/>
          <w:sz w:val="28"/>
          <w:szCs w:val="28"/>
          <w:u w:val="single"/>
          <w:lang w:val="ru-RU"/>
        </w:rPr>
        <w:t>8</w:t>
      </w:r>
      <w:r>
        <w:rPr>
          <w:rStyle w:val="a6"/>
          <w:sz w:val="28"/>
          <w:szCs w:val="28"/>
          <w:u w:val="single"/>
          <w:lang w:val="ru-RU"/>
        </w:rPr>
        <w:t>.202</w:t>
      </w:r>
      <w:r>
        <w:rPr>
          <w:rStyle w:val="a6"/>
          <w:sz w:val="28"/>
          <w:szCs w:val="28"/>
          <w:u w:val="single"/>
          <w:lang w:val="ru-RU"/>
        </w:rPr>
        <w:t>3</w:t>
      </w:r>
      <w:r>
        <w:rPr>
          <w:rStyle w:val="a6"/>
          <w:sz w:val="28"/>
          <w:szCs w:val="28"/>
          <w:u w:val="single"/>
        </w:rPr>
        <w:t xml:space="preserve"> по </w:t>
      </w:r>
      <w:r>
        <w:rPr>
          <w:rStyle w:val="a6"/>
          <w:sz w:val="28"/>
          <w:szCs w:val="28"/>
          <w:u w:val="single"/>
          <w:lang w:val="ru-RU"/>
        </w:rPr>
        <w:t>08</w:t>
      </w:r>
      <w:r>
        <w:rPr>
          <w:rStyle w:val="a6"/>
          <w:sz w:val="28"/>
          <w:szCs w:val="28"/>
          <w:u w:val="single"/>
          <w:lang w:val="ru-RU"/>
        </w:rPr>
        <w:t>.08.202</w:t>
      </w:r>
      <w:r>
        <w:rPr>
          <w:rStyle w:val="a6"/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lang w:val="ru-RU"/>
        </w:rPr>
        <w:t>.</w:t>
      </w:r>
    </w:p>
    <w:p w:rsidR="00000000" w:rsidRDefault="008C53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Предложений не поступало.</w:t>
      </w:r>
    </w:p>
    <w:p w:rsidR="00000000" w:rsidRDefault="008C535C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Иные сведения, которые п</w:t>
      </w:r>
      <w:r>
        <w:rPr>
          <w:sz w:val="28"/>
          <w:szCs w:val="28"/>
        </w:rPr>
        <w:t xml:space="preserve">о мнению разработчика, позволяют оценить обоснованность предлагаемого правового регулирования. </w:t>
      </w:r>
    </w:p>
    <w:p w:rsidR="00000000" w:rsidRDefault="008C535C">
      <w:pPr>
        <w:ind w:firstLine="709"/>
        <w:jc w:val="both"/>
        <w:rPr>
          <w:rFonts w:eastAsia="Courier New" w:cs="Courier New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Отсутствуют.</w:t>
      </w:r>
    </w:p>
    <w:p w:rsidR="00000000" w:rsidRDefault="008C535C">
      <w:pPr>
        <w:ind w:firstLine="709"/>
        <w:jc w:val="both"/>
        <w:rPr>
          <w:rFonts w:eastAsia="Courier New" w:cs="Courier New"/>
          <w:sz w:val="28"/>
          <w:szCs w:val="28"/>
          <w:lang w:val="ru-RU"/>
        </w:rPr>
      </w:pPr>
    </w:p>
    <w:p w:rsidR="00000000" w:rsidRDefault="008C535C">
      <w:pPr>
        <w:ind w:firstLine="709"/>
        <w:jc w:val="both"/>
        <w:rPr>
          <w:rFonts w:eastAsia="Courier New" w:cs="Courier New"/>
          <w:sz w:val="28"/>
          <w:szCs w:val="28"/>
          <w:lang w:val="ru-RU"/>
        </w:rPr>
      </w:pPr>
    </w:p>
    <w:p w:rsidR="00000000" w:rsidRDefault="008C535C">
      <w:pPr>
        <w:ind w:firstLine="709"/>
        <w:jc w:val="both"/>
        <w:rPr>
          <w:sz w:val="28"/>
          <w:szCs w:val="28"/>
          <w:lang w:val="ru-RU"/>
        </w:rPr>
      </w:pPr>
    </w:p>
    <w:p w:rsidR="00000000" w:rsidRDefault="008C535C">
      <w:pPr>
        <w:ind w:firstLine="709"/>
        <w:jc w:val="both"/>
        <w:rPr>
          <w:sz w:val="28"/>
          <w:szCs w:val="28"/>
          <w:lang w:val="ru-RU"/>
        </w:rPr>
      </w:pPr>
    </w:p>
    <w:p w:rsidR="00000000" w:rsidRDefault="008C535C">
      <w:pPr>
        <w:ind w:firstLine="709"/>
        <w:jc w:val="both"/>
        <w:rPr>
          <w:sz w:val="28"/>
          <w:szCs w:val="28"/>
          <w:lang w:val="ru-RU"/>
        </w:rPr>
      </w:pPr>
    </w:p>
    <w:p w:rsidR="00000000" w:rsidRDefault="008C535C">
      <w:pPr>
        <w:ind w:firstLine="709"/>
        <w:jc w:val="both"/>
        <w:rPr>
          <w:sz w:val="28"/>
          <w:szCs w:val="28"/>
          <w:lang w:val="ru-RU"/>
        </w:rPr>
      </w:pPr>
    </w:p>
    <w:p w:rsidR="00000000" w:rsidRDefault="008C535C">
      <w:pPr>
        <w:ind w:firstLine="709"/>
        <w:jc w:val="both"/>
        <w:rPr>
          <w:sz w:val="28"/>
          <w:szCs w:val="28"/>
          <w:lang w:val="ru-RU"/>
        </w:rPr>
      </w:pPr>
    </w:p>
    <w:p w:rsidR="00000000" w:rsidRDefault="008C535C">
      <w:pPr>
        <w:ind w:firstLine="709"/>
        <w:jc w:val="both"/>
        <w:rPr>
          <w:sz w:val="28"/>
          <w:szCs w:val="28"/>
          <w:lang w:val="ru-RU"/>
        </w:rPr>
      </w:pPr>
    </w:p>
    <w:p w:rsidR="00000000" w:rsidRDefault="008C535C">
      <w:pPr>
        <w:ind w:firstLine="709"/>
        <w:jc w:val="both"/>
        <w:rPr>
          <w:sz w:val="28"/>
          <w:szCs w:val="28"/>
          <w:lang w:val="ru-RU"/>
        </w:rPr>
      </w:pPr>
    </w:p>
    <w:p w:rsidR="00000000" w:rsidRDefault="008C535C">
      <w:pPr>
        <w:ind w:firstLine="709"/>
        <w:jc w:val="both"/>
        <w:rPr>
          <w:sz w:val="28"/>
          <w:szCs w:val="28"/>
          <w:lang w:val="ru-RU"/>
        </w:rPr>
      </w:pPr>
    </w:p>
    <w:p w:rsidR="00000000" w:rsidRDefault="008C535C">
      <w:pPr>
        <w:ind w:firstLine="709"/>
        <w:jc w:val="both"/>
        <w:rPr>
          <w:sz w:val="28"/>
          <w:szCs w:val="28"/>
          <w:lang w:val="ru-RU"/>
        </w:rPr>
      </w:pPr>
    </w:p>
    <w:p w:rsidR="00000000" w:rsidRDefault="008C535C">
      <w:pPr>
        <w:ind w:firstLine="709"/>
        <w:jc w:val="both"/>
        <w:rPr>
          <w:sz w:val="28"/>
          <w:szCs w:val="28"/>
          <w:lang w:val="ru-RU"/>
        </w:rPr>
      </w:pPr>
    </w:p>
    <w:p w:rsidR="00000000" w:rsidRDefault="008C535C">
      <w:pPr>
        <w:ind w:firstLine="709"/>
        <w:jc w:val="both"/>
        <w:rPr>
          <w:sz w:val="28"/>
          <w:szCs w:val="28"/>
          <w:lang w:val="ru-RU"/>
        </w:rPr>
      </w:pPr>
    </w:p>
    <w:p w:rsidR="00000000" w:rsidRDefault="008C535C">
      <w:pPr>
        <w:ind w:firstLine="709"/>
        <w:jc w:val="both"/>
        <w:rPr>
          <w:sz w:val="28"/>
          <w:szCs w:val="28"/>
          <w:lang w:val="ru-RU"/>
        </w:rPr>
      </w:pPr>
    </w:p>
    <w:p w:rsidR="008C535C" w:rsidRDefault="008C535C">
      <w:pPr>
        <w:ind w:firstLine="709"/>
        <w:jc w:val="both"/>
        <w:rPr>
          <w:rFonts w:cs="Arial"/>
          <w:bCs/>
          <w:color w:val="000000"/>
          <w:sz w:val="22"/>
          <w:szCs w:val="22"/>
        </w:rPr>
      </w:pPr>
    </w:p>
    <w:sectPr w:rsidR="008C535C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86"/>
    <w:rsid w:val="008C535C"/>
    <w:rsid w:val="00E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  <w:rPr>
      <w:sz w:val="28"/>
      <w:szCs w:val="28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7"/>
    <w:next w:val="ab"/>
    <w:qFormat/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13">
    <w:name w:val="Обычный отступ1"/>
    <w:basedOn w:val="a"/>
    <w:pPr>
      <w:ind w:left="708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zh-CN" w:bidi="fa-IR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zh-CN" w:bidi="fa-IR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zh-CN" w:bidi="fa-IR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zh-CN" w:bidi="fa-IR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Normal">
    <w:name w:val="Normal"/>
    <w:pPr>
      <w:suppressAutoHyphens/>
      <w:autoSpaceDE w:val="0"/>
    </w:pPr>
    <w:rPr>
      <w:rFonts w:eastAsia="Calibri" w:cs="Calibri"/>
      <w:color w:val="000000"/>
      <w:sz w:val="24"/>
      <w:szCs w:val="24"/>
      <w:lang w:eastAsia="zh-CN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">
    <w:name w:val="List Paragraph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  <w:rPr>
      <w:sz w:val="28"/>
      <w:szCs w:val="28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7"/>
    <w:next w:val="ab"/>
    <w:qFormat/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13">
    <w:name w:val="Обычный отступ1"/>
    <w:basedOn w:val="a"/>
    <w:pPr>
      <w:ind w:left="708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zh-CN" w:bidi="fa-IR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zh-CN" w:bidi="fa-IR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zh-CN" w:bidi="fa-IR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zh-CN" w:bidi="fa-IR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Normal">
    <w:name w:val="Normal"/>
    <w:pPr>
      <w:suppressAutoHyphens/>
      <w:autoSpaceDE w:val="0"/>
    </w:pPr>
    <w:rPr>
      <w:rFonts w:eastAsia="Calibri" w:cs="Calibri"/>
      <w:color w:val="000000"/>
      <w:sz w:val="24"/>
      <w:szCs w:val="24"/>
      <w:lang w:eastAsia="zh-CN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">
    <w:name w:val="List Paragraph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az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zovkumi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user-3</cp:lastModifiedBy>
  <cp:revision>2</cp:revision>
  <cp:lastPrinted>1995-11-21T14:41:00Z</cp:lastPrinted>
  <dcterms:created xsi:type="dcterms:W3CDTF">2023-08-16T11:23:00Z</dcterms:created>
  <dcterms:modified xsi:type="dcterms:W3CDTF">2023-08-16T11:23:00Z</dcterms:modified>
</cp:coreProperties>
</file>