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 xml:space="preserve">ИТОГИ </w:t>
      </w:r>
    </w:p>
    <w:p>
      <w:pPr>
        <w:spacing/>
        <w:jc w:val="center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 xml:space="preserve">мониторинга доступности муниципальных объектов в приоритетных сферах жизнедеятельности инвалидов </w:t>
      </w:r>
    </w:p>
    <w:p>
      <w:pPr>
        <w:spacing/>
        <w:jc w:val="center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>по г. Азову за 2020 год</w:t>
      </w:r>
    </w:p>
    <w:p>
      <w:pPr>
        <w:ind w:firstLine="720"/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Times New Roman" w:cs="Arial"/>
          <w:kern w:val="0"/>
          <w:lang w:val="ru-ru" w:eastAsia="ar-sa" w:bidi="ar-sa"/>
        </w:rPr>
      </w:pPr>
      <w:r>
        <w:rPr>
          <w:rFonts w:ascii="Arial" w:hAnsi="Arial" w:eastAsia="Times New Roman" w:cs="Arial"/>
          <w:kern w:val="0"/>
          <w:lang w:val="ru-ru" w:eastAsia="ar-sa" w:bidi="ar-sa"/>
        </w:rPr>
      </w:r>
      <w:r>
        <w:br w:type="page"/>
      </w:r>
    </w:p>
    <w:p>
      <w:pPr>
        <w:ind w:left="16443"/>
        <w:spacing/>
        <w:jc w:val="right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 xml:space="preserve">Приложение № 1 </w:t>
      </w:r>
    </w:p>
    <w:p>
      <w:pPr>
        <w:ind w:left="16443"/>
        <w:spacing/>
        <w:jc w:val="right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 xml:space="preserve">к Порядку проведения </w:t>
      </w:r>
    </w:p>
    <w:p>
      <w:pPr>
        <w:spacing/>
        <w:jc w:val="right"/>
        <w:suppressAutoHyphens/>
        <w:hyphenationLines w:val="0"/>
        <w:tabs defTabSz="720">
          <w:tab w:val="left" w:pos="14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>проведения мониторинга доступности</w:t>
      </w:r>
    </w:p>
    <w:p>
      <w:pPr>
        <w:ind w:firstLine="709"/>
        <w:spacing/>
        <w:jc w:val="right"/>
        <w:suppressAutoHyphens/>
        <w:hyphenationLines w:val="0"/>
        <w:tabs defTabSz="720">
          <w:tab w:val="left" w:pos="14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 xml:space="preserve"> объектов в приоритетных сферах</w:t>
      </w:r>
    </w:p>
    <w:p>
      <w:pPr>
        <w:ind w:firstLine="709"/>
        <w:spacing/>
        <w:jc w:val="right"/>
        <w:suppressAutoHyphens/>
        <w:hyphenationLines w:val="0"/>
        <w:tabs defTabSz="720">
          <w:tab w:val="left" w:pos="14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 xml:space="preserve"> жизнедеятельностив в муниципальном </w:t>
      </w:r>
    </w:p>
    <w:p>
      <w:pPr>
        <w:ind w:firstLine="709"/>
        <w:spacing/>
        <w:jc w:val="right"/>
        <w:suppressAutoHyphens/>
        <w:hyphenationLines w:val="0"/>
        <w:tabs defTabSz="720">
          <w:tab w:val="left" w:pos="14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>образовании «Город Азов»</w:t>
      </w:r>
    </w:p>
    <w:p>
      <w:pPr>
        <w:ind w:left="16443"/>
        <w:spacing/>
        <w:jc w:val="right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от __________ № _____</w:t>
      </w:r>
    </w:p>
    <w:p>
      <w:pPr>
        <w:ind w:left="16443"/>
        <w:spacing/>
        <w:jc w:val="right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</w:r>
    </w:p>
    <w:p>
      <w:pPr>
        <w:spacing/>
        <w:jc w:val="center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zh-cn" w:bidi="ar-sa"/>
        </w:rPr>
      </w:pPr>
      <w:r>
        <w:rPr>
          <w:rFonts w:eastAsia="Times New Roman"/>
          <w:kern w:val="0"/>
          <w:sz w:val="28"/>
          <w:szCs w:val="28"/>
          <w:lang w:val="ru-ru" w:eastAsia="zh-cn" w:bidi="ar-sa"/>
        </w:rPr>
        <w:t xml:space="preserve">ИТОГИ </w:t>
      </w:r>
    </w:p>
    <w:p>
      <w:pPr>
        <w:spacing/>
        <w:jc w:val="center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4"/>
          <w:szCs w:val="24"/>
          <w:lang w:val="ru-ru" w:eastAsia="zh-cn" w:bidi="ar-sa"/>
        </w:rPr>
      </w:pPr>
      <w:r>
        <w:rPr>
          <w:rFonts w:eastAsia="Times New Roman"/>
          <w:kern w:val="0"/>
          <w:sz w:val="28"/>
          <w:szCs w:val="28"/>
          <w:lang w:val="ru-ru" w:eastAsia="zh-cn" w:bidi="ar-sa"/>
        </w:rPr>
        <w:t>мониторинга доступности по объектам, включенным в Перечень объектов социальной и транспортной инфраструктур,средств транспорта, связи и информации, находящихся в муниципальной собственности города Азова, и услуг в приоритетных сферахжизнедеятельности инвалидов, оказываемых органами исполнительной власти Ростовской области, за 2020 год</w:t>
      </w:r>
      <w:r>
        <w:rPr>
          <w:rFonts w:eastAsia="Times New Roman"/>
          <w:kern w:val="0"/>
          <w:sz w:val="24"/>
          <w:szCs w:val="24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</w:t>
      </w:r>
    </w:p>
    <w:p>
      <w:pPr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lang w:val="ru-ru" w:eastAsia="ru-ru" w:bidi="ar-sa"/>
        </w:rPr>
      </w:pPr>
      <w:r>
        <w:rPr>
          <w:rFonts w:eastAsia="Times New Roman"/>
          <w:kern w:val="0"/>
          <w:lang w:val="ru-ru" w:eastAsia="ru-ru" w:bidi="ar-sa"/>
        </w:rPr>
      </w:r>
    </w:p>
    <w:tbl>
      <w:tblPr>
        <w:name w:val="Таблица1"/>
        <w:tabOrder w:val="0"/>
        <w:jc w:val="left"/>
        <w:tblInd w:w="0" w:type="dxa"/>
        <w:tblW w:w="14144" w:type="dxa"/>
      </w:tblPr>
      <w:tblGrid>
        <w:gridCol w:w="511"/>
        <w:gridCol w:w="824"/>
        <w:gridCol w:w="877"/>
        <w:gridCol w:w="616"/>
        <w:gridCol w:w="707"/>
        <w:gridCol w:w="707"/>
        <w:gridCol w:w="707"/>
        <w:gridCol w:w="707"/>
        <w:gridCol w:w="707"/>
        <w:gridCol w:w="707"/>
        <w:gridCol w:w="709"/>
        <w:gridCol w:w="707"/>
        <w:gridCol w:w="707"/>
        <w:gridCol w:w="707"/>
        <w:gridCol w:w="707"/>
        <w:gridCol w:w="707"/>
        <w:gridCol w:w="709"/>
        <w:gridCol w:w="707"/>
        <w:gridCol w:w="707"/>
        <w:gridCol w:w="707"/>
      </w:tblGrid>
      <w:tr>
        <w:trPr>
          <w:tblHeader w:val="0"/>
          <w:cantSplit w:val="0"/>
          <w:trHeight w:val="0" w:hRule="auto"/>
        </w:trPr>
        <w:tc>
          <w:tcPr>
            <w:tcW w:w="511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№ п/п</w:t>
            </w:r>
          </w:p>
        </w:tc>
        <w:tc>
          <w:tcPr>
            <w:tcW w:w="82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Наименование объекта</w:t>
            </w:r>
          </w:p>
        </w:tc>
        <w:tc>
          <w:tcPr>
            <w:tcW w:w="8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Адрес</w:t>
            </w:r>
          </w:p>
        </w:tc>
        <w:tc>
          <w:tcPr>
            <w:tcW w:w="616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год проведения  работ по адаптации и дооборудованию</w:t>
            </w:r>
          </w:p>
        </w:tc>
        <w:tc>
          <w:tcPr>
            <w:tcW w:w="70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вариант организации доступности</w:t>
            </w:r>
          </w:p>
        </w:tc>
        <w:tc>
          <w:tcPr>
            <w:tcW w:w="9902" w:type="dxa"/>
            <w:gridSpan w:val="1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Состояние доступности</w:t>
            </w:r>
          </w:p>
        </w:tc>
        <w:tc>
          <w:tcPr>
            <w:tcW w:w="70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Примечание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2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616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70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70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доступен полностью</w:t>
            </w:r>
          </w:p>
        </w:tc>
        <w:tc>
          <w:tcPr>
            <w:tcW w:w="3537" w:type="dxa"/>
            <w:gridSpan w:val="5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доступен полностью избирательно</w:t>
            </w:r>
          </w:p>
        </w:tc>
        <w:tc>
          <w:tcPr>
            <w:tcW w:w="70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доступен частично всем</w:t>
            </w:r>
          </w:p>
        </w:tc>
        <w:tc>
          <w:tcPr>
            <w:tcW w:w="3537" w:type="dxa"/>
            <w:gridSpan w:val="5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доступен частично избирательно</w:t>
            </w:r>
          </w:p>
        </w:tc>
        <w:tc>
          <w:tcPr>
            <w:tcW w:w="70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доступен условно</w:t>
            </w:r>
          </w:p>
        </w:tc>
        <w:tc>
          <w:tcPr>
            <w:tcW w:w="70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временно недоступен</w:t>
            </w:r>
          </w:p>
        </w:tc>
        <w:tc>
          <w:tcPr>
            <w:tcW w:w="70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2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616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70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70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С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Г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О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К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У</w:t>
            </w:r>
          </w:p>
        </w:tc>
        <w:tc>
          <w:tcPr>
            <w:tcW w:w="70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 xml:space="preserve">Г 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К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О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С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ru-ru" w:eastAsia="ru-ru" w:bidi="ar-sa"/>
              </w:rPr>
              <w:t>У</w:t>
            </w:r>
          </w:p>
        </w:tc>
        <w:tc>
          <w:tcPr>
            <w:tcW w:w="70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70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70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8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34" w:hanging="34"/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Корпус стационара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Измайлова, 58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2019-2020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34" w:hanging="34"/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Поликлиника № 1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Измайлова, 58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2019-2020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Детская поликлиника</w:t>
            </w:r>
          </w:p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(центр)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</w:t>
            </w:r>
            <w:r>
              <w:rPr>
                <w:rFonts w:eastAsia="Calibri"/>
                <w:kern w:val="0"/>
                <w:sz w:val="16"/>
                <w:szCs w:val="16"/>
                <w:lang w:val="en-us" w:eastAsia="zh-cn" w:bidi="ar-sa"/>
              </w:rPr>
            </w:r>
          </w:p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Ленинградская, 46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работы не проводидись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Детская поликлиника</w:t>
            </w:r>
          </w:p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(филиал № 2)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Московская, 292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работы не проводидись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МБУЗ ГБ-1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Васильева, 96/13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2019-2020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Женская консультация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Социалистическая, 62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работы не проводидись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Мира, 2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 xml:space="preserve">Согласование  с Министерством  культуры РО и  Управлением образования г. Азова, </w:t>
            </w:r>
          </w:p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(здание является историческим  зданием регионального значения )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№2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Московская, 118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2013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№3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Севастопольская, 113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2021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ремонтные работы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№5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ул.Г.Мирошниченко, 48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ремонтные работы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№9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Московская, 141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2015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№11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Красноармейский, 90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2015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№13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Осипенко, 58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№14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Черноморский, 77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2015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№15 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Социалистический, 25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2011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ДОД «Дом детского творчества»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ind w:left="-108" w:right="-108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Дзержинского, 14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2013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МАУ ЦСО</w:t>
            </w:r>
          </w:p>
          <w:p>
            <w:pPr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 xml:space="preserve"> г. Азова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Мира,</w:t>
            </w:r>
          </w:p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 xml:space="preserve"> 24-а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2013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МФЦ</w:t>
            </w:r>
          </w:p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Азова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Московская,</w:t>
            </w:r>
          </w:p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2015, 2018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Азова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пл. Петровская, 4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20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Муниципальное бюджетное учреждение культуры «Городской Дворец культуры»     г. Азова</w:t>
            </w:r>
          </w:p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(МБУК ГДК г. Азова)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Петровский бульвар, 44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2017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Центральная библиотека им. Н. Крупской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Петровский бульвар, 20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2011,2017-2018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22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Детская библиотека им. А. Гайдара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Привокзальная, 25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2017-2018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23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Библиотека им. А. Штанько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Московская, 292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2013, 2017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Библиотека им. А. Пушкина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Кондаурова, 40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2012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8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Муниципальное бюджетное образовательное учреждение дополнительного образования детей «Детская школа искусств имени С.С. Прокофьева» г. Азова</w:t>
            </w:r>
          </w:p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(МБОУ ДОД ДШИ г.Азова)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Ленинградская, 39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2016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26</w:t>
            </w:r>
          </w:p>
        </w:tc>
        <w:tc>
          <w:tcPr>
            <w:tcW w:w="8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МАУ г. Азова «СК им. Э.П. Лакомова»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Петровский бульвар, 46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2018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8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УСЗН г. Азова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Первомайскаяская, 94</w:t>
            </w:r>
          </w:p>
        </w:tc>
        <w:tc>
          <w:tcPr>
            <w:tcW w:w="6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2018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+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</w:tr>
    </w:tbl>
    <w:p>
      <w:pPr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lang w:val="ru-ru" w:eastAsia="ru-ru" w:bidi="ar-sa"/>
        </w:rPr>
      </w:pPr>
      <w:r>
        <w:rPr>
          <w:rFonts w:eastAsia="Times New Roman"/>
          <w:kern w:val="0"/>
          <w:lang w:val="ru-ru" w:eastAsia="ru-ru" w:bidi="ar-sa"/>
        </w:rPr>
      </w:r>
    </w:p>
    <w:p>
      <w:pPr>
        <w:ind w:left="6237"/>
        <w:spacing/>
        <w:jc w:val="center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Примечание.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Используемые обозначения: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Г – инвалиды с нарушением функции слуха;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К – инвалиды-колясочники;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О – инвалиды с заболеванием опорно-двигательного аппарата;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С – инвалиды с нарушением функций зрения;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У – инвалиды с нарушением умственного развития.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Рекомендации по заполнению:</w:t>
      </w:r>
    </w:p>
    <w:p>
      <w:pPr>
        <w:ind w:firstLine="709"/>
        <w:spacing/>
        <w:jc w:val="both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в графе 2 указывается полное наименование объекта;</w:t>
      </w:r>
    </w:p>
    <w:p>
      <w:pPr>
        <w:ind w:firstLine="709"/>
        <w:spacing/>
        <w:jc w:val="both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 xml:space="preserve">в графе 4 указывается год проведения работ по адаптации, направленных на создание условий для беспрепятственного доступа инвалидов на объект. В случае, если работы проводились несколько лет, указывается год окончания проведения работ; </w:t>
      </w:r>
    </w:p>
    <w:p>
      <w:pPr>
        <w:ind w:firstLine="709"/>
        <w:spacing/>
        <w:jc w:val="both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в графе 5 указывается один из двух вариантов организации доступности (не учитывая обслуживания на дому): вариант «А» – доступность для инвалидов любого места обслуживания в общественном здании; вариант «Б» – выделение в уровне входной площадки специальных помещений, зон или блоков, приспособленных и оборудованных для инвалидов;</w:t>
      </w:r>
    </w:p>
    <w:p>
      <w:pPr>
        <w:ind w:firstLine="709"/>
        <w:spacing/>
        <w:jc w:val="both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в графах 6 – 19 указывается «+» или «–». Состояние доступности определяется в соответствии с технологией оценки состояния доступности и классификацией объектов социальной инфраструктуры и услуг в приоритетных сферах жизнедеятельности инвалидов и других маломобильных групп населения, утвержденной Приказом Минтруда России от 25.12.2012 № 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специфики»;</w:t>
      </w:r>
    </w:p>
    <w:p>
      <w:pPr>
        <w:ind w:firstLine="709"/>
        <w:spacing/>
        <w:jc w:val="both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в графе 20 указывается иная информация, характеризующая состояние доступности объекта для инвалидов.</w:t>
      </w:r>
      <w:r>
        <w:br w:type="page"/>
      </w:r>
    </w:p>
    <w:p>
      <w:pPr>
        <w:ind w:left="16443"/>
        <w:spacing/>
        <w:jc w:val="right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 xml:space="preserve">Приложение № 2 </w:t>
      </w:r>
    </w:p>
    <w:p>
      <w:pPr>
        <w:ind w:left="16443"/>
        <w:spacing/>
        <w:jc w:val="right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 xml:space="preserve">к Порядку проведения </w:t>
      </w:r>
    </w:p>
    <w:p>
      <w:pPr>
        <w:spacing/>
        <w:jc w:val="right"/>
        <w:suppressAutoHyphens/>
        <w:hyphenationLines w:val="0"/>
        <w:tabs defTabSz="720">
          <w:tab w:val="left" w:pos="14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>проведения мониторинга доступности</w:t>
      </w:r>
    </w:p>
    <w:p>
      <w:pPr>
        <w:ind w:firstLine="709"/>
        <w:spacing/>
        <w:jc w:val="right"/>
        <w:suppressAutoHyphens/>
        <w:hyphenationLines w:val="0"/>
        <w:tabs defTabSz="720">
          <w:tab w:val="left" w:pos="14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 xml:space="preserve"> объектов в приоритетных сферах</w:t>
      </w:r>
    </w:p>
    <w:p>
      <w:pPr>
        <w:ind w:firstLine="709"/>
        <w:spacing/>
        <w:jc w:val="right"/>
        <w:suppressAutoHyphens/>
        <w:hyphenationLines w:val="0"/>
        <w:tabs defTabSz="720">
          <w:tab w:val="left" w:pos="14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 xml:space="preserve"> жизнедеятельностив в муниципальном </w:t>
      </w:r>
    </w:p>
    <w:p>
      <w:pPr>
        <w:ind w:firstLine="709"/>
        <w:spacing/>
        <w:jc w:val="right"/>
        <w:suppressAutoHyphens/>
        <w:hyphenationLines w:val="0"/>
        <w:tabs defTabSz="720">
          <w:tab w:val="left" w:pos="14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  <w:t>образовании «Город Азов»</w:t>
      </w:r>
    </w:p>
    <w:p>
      <w:pPr>
        <w:ind w:left="16443"/>
        <w:spacing/>
        <w:jc w:val="right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от __________ № _____</w:t>
      </w:r>
    </w:p>
    <w:p>
      <w:pPr>
        <w:ind w:left="16443"/>
        <w:spacing/>
        <w:jc w:val="right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</w:r>
    </w:p>
    <w:p>
      <w:pPr>
        <w:spacing/>
        <w:jc w:val="center"/>
        <w:widowControl/>
        <w:tabs defTabSz="720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0"/>
          <w:sz w:val="28"/>
          <w:szCs w:val="28"/>
          <w:lang w:val="ru-ru" w:eastAsia="zh-cn" w:bidi="ar-sa"/>
        </w:rPr>
      </w:pPr>
      <w:r>
        <w:rPr>
          <w:rFonts w:eastAsia="Calibri"/>
          <w:kern w:val="0"/>
          <w:sz w:val="28"/>
          <w:szCs w:val="28"/>
          <w:lang w:val="ru-ru" w:eastAsia="zh-cn" w:bidi="ar-sa"/>
        </w:rPr>
        <w:t xml:space="preserve">ПЕРЕЧЕНЬ </w:t>
      </w:r>
    </w:p>
    <w:p>
      <w:pPr>
        <w:spacing/>
        <w:jc w:val="center"/>
        <w:widowControl/>
        <w:tabs defTabSz="720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0"/>
          <w:sz w:val="28"/>
          <w:szCs w:val="28"/>
          <w:lang w:val="ru-ru" w:eastAsia="zh-cn" w:bidi="ar-sa"/>
        </w:rPr>
      </w:pPr>
      <w:r>
        <w:rPr>
          <w:rFonts w:eastAsia="Calibri"/>
          <w:kern w:val="0"/>
          <w:sz w:val="28"/>
          <w:szCs w:val="28"/>
          <w:lang w:val="ru-ru" w:eastAsia="zh-cn" w:bidi="ar-sa"/>
        </w:rPr>
        <w:t>объектов в приоритетных сферах жизнедеятельности инвалидов, находящихся в муниципальной собственности</w:t>
      </w:r>
    </w:p>
    <w:p>
      <w:pPr>
        <w:spacing/>
        <w:jc w:val="center"/>
        <w:widowControl/>
        <w:tabs defTabSz="720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0"/>
          <w:sz w:val="28"/>
          <w:szCs w:val="28"/>
          <w:lang w:val="ru-ru" w:eastAsia="zh-cn" w:bidi="ar-sa"/>
        </w:rPr>
      </w:pPr>
      <w:r>
        <w:rPr>
          <w:rFonts w:eastAsia="Calibri"/>
          <w:kern w:val="0"/>
          <w:sz w:val="28"/>
          <w:szCs w:val="28"/>
          <w:lang w:val="ru-ru" w:eastAsia="zh-cn" w:bidi="ar-sa"/>
        </w:rPr>
        <w:t>города Азова, прошедших паспортизацию в сфере _______________________________________ за ___________год</w:t>
      </w:r>
    </w:p>
    <w:p>
      <w:pPr>
        <w:spacing/>
        <w:jc w:val="center"/>
        <w:widowControl/>
        <w:tabs defTabSz="720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kern w:val="0"/>
          <w:sz w:val="24"/>
          <w:szCs w:val="24"/>
          <w:lang w:val="ru-ru" w:eastAsia="zh-cn" w:bidi="ar-sa"/>
        </w:rPr>
        <w:t xml:space="preserve">                                                                (указывается приоритетная сфера)</w:t>
      </w:r>
    </w:p>
    <w:p>
      <w:pPr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lang w:val="ru-ru" w:eastAsia="ru-ru" w:bidi="ar-sa"/>
        </w:rPr>
      </w:pPr>
      <w:r>
        <w:rPr>
          <w:rFonts w:eastAsia="Times New Roman"/>
          <w:kern w:val="0"/>
          <w:lang w:val="ru-ru" w:eastAsia="ru-ru" w:bidi="ar-sa"/>
        </w:rPr>
      </w:r>
    </w:p>
    <w:p>
      <w:pPr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lang w:val="ru-ru" w:eastAsia="ru-ru" w:bidi="ar-sa"/>
        </w:rPr>
      </w:pPr>
      <w:r>
        <w:rPr>
          <w:rFonts w:eastAsia="Times New Roman"/>
          <w:kern w:val="0"/>
          <w:lang w:val="ru-ru" w:eastAsia="ru-ru" w:bidi="ar-sa"/>
        </w:rPr>
      </w:r>
    </w:p>
    <w:tbl>
      <w:tblPr>
        <w:name w:val="Таблица2"/>
        <w:tabOrder w:val="0"/>
        <w:jc w:val="left"/>
        <w:tblInd w:w="0" w:type="dxa"/>
        <w:tblW w:w="14032" w:type="dxa"/>
      </w:tblPr>
      <w:tblGrid>
        <w:gridCol w:w="461"/>
        <w:gridCol w:w="1293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>
        <w:trPr>
          <w:tblHeader w:val="0"/>
          <w:cantSplit w:val="0"/>
          <w:trHeight w:val="0" w:hRule="auto"/>
        </w:trPr>
        <w:tc>
          <w:tcPr>
            <w:tcW w:w="461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3047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1. Общие сведения об объекте</w:t>
            </w:r>
          </w:p>
        </w:tc>
        <w:tc>
          <w:tcPr>
            <w:tcW w:w="2631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2. Характеристика деятельности (по обслуживанию населения)</w:t>
            </w:r>
          </w:p>
        </w:tc>
        <w:tc>
          <w:tcPr>
            <w:tcW w:w="5262" w:type="dxa"/>
            <w:gridSpan w:val="6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3. Состояние доступности объекта</w:t>
            </w:r>
          </w:p>
        </w:tc>
        <w:tc>
          <w:tcPr>
            <w:tcW w:w="2631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4. Управленческое решение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129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полное наименование объекта</w:t>
            </w:r>
          </w:p>
        </w:tc>
        <w:tc>
          <w:tcPr>
            <w:tcW w:w="8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адрес объекта</w:t>
            </w:r>
          </w:p>
        </w:tc>
        <w:tc>
          <w:tcPr>
            <w:tcW w:w="8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реквизиты паспорта доступности объекта</w:t>
            </w:r>
          </w:p>
        </w:tc>
        <w:tc>
          <w:tcPr>
            <w:tcW w:w="8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виды оказываемых услуг</w:t>
            </w:r>
          </w:p>
        </w:tc>
        <w:tc>
          <w:tcPr>
            <w:tcW w:w="8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категории инвалидов, получающих услуги на объекте</w:t>
            </w:r>
          </w:p>
        </w:tc>
        <w:tc>
          <w:tcPr>
            <w:tcW w:w="8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исполнитель ИПРА (да/нет)</w:t>
            </w:r>
          </w:p>
        </w:tc>
        <w:tc>
          <w:tcPr>
            <w:tcW w:w="8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вариант обустройства объекта</w:t>
            </w:r>
          </w:p>
        </w:tc>
        <w:tc>
          <w:tcPr>
            <w:tcW w:w="4385" w:type="dxa"/>
            <w:gridSpan w:val="5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состояние доступности для отдельных категорий инвалидов</w:t>
            </w:r>
          </w:p>
        </w:tc>
        <w:tc>
          <w:tcPr>
            <w:tcW w:w="8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виды работ по адаптации для инвалидов</w:t>
            </w:r>
          </w:p>
        </w:tc>
        <w:tc>
          <w:tcPr>
            <w:tcW w:w="8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8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ожидаемый результат (по состоянию доступности)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129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 xml:space="preserve">Г </w:t>
            </w:r>
          </w:p>
        </w:tc>
        <w:tc>
          <w:tcPr>
            <w:tcW w:w="8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К</w:t>
            </w:r>
          </w:p>
        </w:tc>
        <w:tc>
          <w:tcPr>
            <w:tcW w:w="8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О</w:t>
            </w:r>
          </w:p>
        </w:tc>
        <w:tc>
          <w:tcPr>
            <w:tcW w:w="8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С</w:t>
            </w:r>
          </w:p>
        </w:tc>
        <w:tc>
          <w:tcPr>
            <w:tcW w:w="87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У</w:t>
            </w: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  <w:tc>
          <w:tcPr>
            <w:tcW w:w="8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tabs defTabSz="720"/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2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34" w:hanging="34"/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Корпус стационара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Измайлова, 58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 1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Медицинская помощь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2021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34" w:hanging="34"/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Поликлиника № 1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Измайлова, 58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Медицинская помощь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2021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Детская поликлиника</w:t>
            </w:r>
          </w:p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(центр)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</w:t>
            </w:r>
            <w:r>
              <w:rPr>
                <w:rFonts w:eastAsia="Calibri"/>
                <w:kern w:val="0"/>
                <w:sz w:val="16"/>
                <w:szCs w:val="16"/>
                <w:lang w:val="en-us" w:eastAsia="zh-cn" w:bidi="ar-sa"/>
              </w:rPr>
            </w:r>
          </w:p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Ленинградская, 46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№3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Медицинская помощь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до 18 лет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Детская поликлиника</w:t>
            </w:r>
          </w:p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(филиал № 2)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Московская, 292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 xml:space="preserve">№4 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Медицинская помощь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до 18 лет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МБУЗ ГБ-1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Васильева, 96/13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№5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Медицинская помощь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2021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Женская консультация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Социалистическая, 62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№6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Медицинская помощь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Мира, 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№7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Образование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школьного возраста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Индивидуальное решение с ТСР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№2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Московская, 118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№8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Образование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школьного возраста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2022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№3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Севастопольская, 113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№9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Образование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школьного возраста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(капитальный)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2021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№5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ул.Г.Мирошниченко, 48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№10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Образование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школьного возраста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(капитальный)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№9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Московская, 141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№11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Образование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школьного возраста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№11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Красноармейский, 90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№12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Образование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школьного возраста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№13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Осипенко, 58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№13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Образование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школьного возраста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 нуждается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№14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Черноморский, 77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№14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Образование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школьного возраста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(капитальный)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№15 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Социалистический, 25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№15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Образование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школьного возраста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ДОД «Дом детского творчества»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ind w:left="-108" w:right="-108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Дзержинского, 14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№16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Образование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Дети школьного возраста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МАУ ЦСО</w:t>
            </w:r>
          </w:p>
          <w:p>
            <w:pPr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 xml:space="preserve"> г. Азова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Мира,</w:t>
            </w:r>
          </w:p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 xml:space="preserve"> 24-а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№25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Оказание услуг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МФЦ</w:t>
            </w:r>
          </w:p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Азова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Московская,</w:t>
            </w:r>
          </w:p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№24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Оказание услуг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>
            <w:pPr>
              <w:pStyle w:val="par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Азова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pStyle w:val="para5"/>
              <w: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пл. Петровская, 4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№23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Оказание услуг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20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Муниципальное бюджетное учреждение культуры «Городской Дворец культуры»     г. Азова</w:t>
            </w:r>
          </w:p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(МБУК ГДК г. Азова)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Петровский бульвар, 44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№17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Культурно-досуговые мероприятия, концерты, спектакли, вечера отдыха, игровые программы, праздничные гуляния населения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Центральная библиотека им. Н. Крупской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Петровский бульвар, 20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№18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1.Библиотечное обслуживание населения.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2. Предоставление доступа к справочно-поисковому аппарату и базам данных библиотек.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22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Детская библиотека им. А. Гайдара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Привокзальная, 25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№19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1.Библиотечное обслуживание населения.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2. Предоставление доступа к справочно-поисковому аппарату и базам данных библиотек.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23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Библиотека им. А. Штанько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Московская, 292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№20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1.Библиотечное обслуживание населения.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2. Предоставление доступа к справочно-поисковому аппарату и базам данных библиотек.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ВНД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Библиотека им. А. Пушкина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Кондаурова, 40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№21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1.Библиотечное обслуживание населения.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2. Предоставление доступа к справочно-поисковому аппарату и базам данных библиотек.</w:t>
            </w:r>
          </w:p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12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Муниципальное бюджетное образовательное учреждение дополнительного образования детей «Детская школа искусств имени С.С. Прокофьева» г. Азова</w:t>
            </w:r>
          </w:p>
          <w:p>
            <w:pPr>
              <w:spacing w:line="360" w:lineRule="auto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(МБОУ ДОД ДШИ г.Азова)</w:t>
            </w:r>
          </w:p>
        </w:tc>
        <w:tc>
          <w:tcPr>
            <w:tcW w:w="87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Ленинградская, 39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№22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26</w:t>
            </w:r>
          </w:p>
        </w:tc>
        <w:tc>
          <w:tcPr>
            <w:tcW w:w="12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МАУ г. Азова «СК им. Э.П. Лакомова»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Петровский бульвар, 46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№28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Мероприятия по физической культуре и спорту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2028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12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УСЗН г. Азова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ind w:left="-108" w:right="-108"/>
              <w:spacing w:line="360" w:lineRule="auto"/>
              <w:jc w:val="center"/>
              <w:widowControl/>
              <w:tabs defTabSz="720">
                <w:tab w:val="left" w:pos="1627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/>
                <w:kern w:val="0"/>
                <w:sz w:val="16"/>
                <w:szCs w:val="16"/>
                <w:lang w:val="ru-ru" w:eastAsia="zh-cn" w:bidi="ar-sa"/>
              </w:rPr>
              <w:t>ул. Первомайскаяская, 94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№26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Оказание услуг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Все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Да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ru-ru" w:eastAsia="ru-ru" w:bidi="ar-sa"/>
              </w:rPr>
              <w:t>Б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ДЧ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ремонт (текущий)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2023</w:t>
            </w:r>
          </w:p>
        </w:tc>
        <w:tc>
          <w:tcPr>
            <w:tcW w:w="8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93599" protected="1"/>
          </w:tcPr>
          <w:p>
            <w:pPr>
              <w:spacing/>
              <w:jc w:val="center"/>
              <w:widowControl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14"/>
                <w:szCs w:val="14"/>
                <w:lang w:val="ru-ru" w:eastAsia="ru-ru" w:bidi="ar-sa"/>
              </w:rPr>
              <w:t>ДП-В</w:t>
            </w:r>
          </w:p>
        </w:tc>
      </w:tr>
    </w:tbl>
    <w:p>
      <w:pPr>
        <w:ind w:firstLine="709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zh-cn" w:bidi="ar-sa"/>
        </w:rPr>
      </w:pPr>
      <w:r>
        <w:rPr>
          <w:rFonts w:eastAsia="Times New Roman"/>
          <w:kern w:val="0"/>
          <w:sz w:val="28"/>
          <w:szCs w:val="28"/>
          <w:lang w:val="ru-ru" w:eastAsia="zh-cn" w:bidi="ar-sa"/>
        </w:rPr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Примечание.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Используемые обозначения: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Г – инвалиды с нарушением функции слуха;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ИПРА – индивидуальная программа реабилитации и абилитации инвалида/ребенка-инвалида;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К – инвалиды-колясочники;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О – инвалиды с заболеванием опорно-двигательного аппарата;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С – инвалиды с нарушением функций зрения;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У – инвалиды с нарушением умственного развития.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Рекомендации по заполнению:</w:t>
      </w:r>
    </w:p>
    <w:p>
      <w:pPr>
        <w:ind w:firstLine="709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в графе 4 указывается номер и дата утверждения паспорта доступности объекта, наименование общественной организации, с кем согласован паспорт доступности;</w:t>
      </w:r>
    </w:p>
    <w:p>
      <w:pPr>
        <w:ind w:firstLine="709"/>
        <w:spacing/>
        <w:jc w:val="both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в графе 8 указывается один из двух вариантов организации доступности (не учитывая обслуживания на дому): вариант «А» – доступность для инвалидов любого места обслуживания в общественном здании; вариант «Б» – выделение в уровне входной площадки специальных помещений, зон или блоков, приспособленных и оборудованных для инвалидов;</w:t>
      </w:r>
    </w:p>
    <w:p>
      <w:pPr>
        <w:ind w:firstLine="709"/>
        <w:spacing/>
        <w:jc w:val="both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в графах 9 – 13, 16 указывается один из вариантов: ДП – доступно полностью; ДЧ – доступно частично; ДУ – доступно условно, ВНД – временно недоступно.</w:t>
      </w:r>
      <w:r>
        <w:rPr>
          <w:rFonts w:eastAsia="Times New Roman"/>
          <w:kern w:val="0"/>
          <w:lang w:val="ru-ru" w:eastAsia="zh-cn" w:bidi="ar-sa"/>
        </w:rPr>
        <w:t xml:space="preserve"> </w:t>
      </w:r>
      <w:r>
        <w:rPr>
          <w:rFonts w:eastAsia="Calibri"/>
          <w:sz w:val="28"/>
          <w:szCs w:val="28"/>
          <w:lang w:val="ru-ru" w:eastAsia="zh-cn" w:bidi="ar-sa"/>
        </w:rPr>
        <w:t>Состояние доступности определяется в соответствии с технологией оценки состояния доступности и классификацией объектов социальной инфраструктуры и услуг в приоритетных сферах жизнедеятельности инвалидов и других маломобильных групп населения, утвержденной Приказом Минтруда России от 25.12.2012 № 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специфики»;</w:t>
      </w:r>
    </w:p>
    <w:p>
      <w:pPr>
        <w:ind w:firstLine="709"/>
        <w:spacing/>
        <w:jc w:val="both"/>
        <w:widowControl/>
        <w:tabs defTabSz="720">
          <w:tab w:val="left" w:pos="538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  <w:t>в графе 14</w:t>
      </w:r>
      <w:bookmarkStart w:id="0" w:name="_GoBack"/>
      <w:bookmarkEnd w:id="0"/>
      <w:r>
        <w:rPr>
          <w:rFonts w:eastAsia="Calibri"/>
          <w:sz w:val="28"/>
          <w:szCs w:val="28"/>
          <w:lang w:val="ru-ru" w:eastAsia="zh-cn" w:bidi="ar-sa"/>
        </w:rPr>
        <w:t xml:space="preserve"> указывается один из вариантов: «текущий ремонт», «капитальный ремонт», «индивидуальное решение с техническими средствами реабилитации», «организация альтернативной формы обслуживания».</w:t>
      </w:r>
    </w:p>
    <w:p>
      <w:pPr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/>
          <w:kern w:val="0"/>
          <w:sz w:val="28"/>
          <w:szCs w:val="28"/>
          <w:lang w:val="ru-ru" w:eastAsia="ar-sa" w:bidi="ar-sa"/>
        </w:rPr>
      </w:r>
    </w:p>
    <w:p>
      <w:pPr>
        <w:pStyle w:val="para4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3"/>
    <w:tmLastPosSelect w:val="0"/>
    <w:tmLastPosFrameIdx w:val="0"/>
    <w:tmLastPosCaret>
      <w:tmLastPosPgfIdx w:val="6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899359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 w:customStyle="1">
    <w:name w:val="ConsPlusCell"/>
    <w:qFormat/>
    <w:pPr>
      <w:spacing w:line="100" w:lineRule="atLeast"/>
      <w:suppressAutoHyphens/>
      <w:hyphenationLines w:val="0"/>
      <w:tabs defTabSz="720">
        <w:tab w:val="left" w:pos="708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 w:customStyle="1">
    <w:name w:val="ConsPlusCell"/>
    <w:qFormat/>
    <w:pPr>
      <w:spacing w:line="100" w:lineRule="atLeast"/>
      <w:suppressAutoHyphens/>
      <w:hyphenationLines w:val="0"/>
      <w:tabs defTabSz="720">
        <w:tab w:val="left" w:pos="708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2021-04-21T08:26:26Z</dcterms:created>
  <dcterms:modified xsi:type="dcterms:W3CDTF">2021-04-21T08:26:39Z</dcterms:modified>
</cp:coreProperties>
</file>