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0C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55" w:rsidRPr="00F41350" w:rsidRDefault="009A4455" w:rsidP="009A4455">
      <w:pPr>
        <w:pStyle w:val="a3"/>
        <w:ind w:firstLine="709"/>
        <w:rPr>
          <w:b/>
          <w:szCs w:val="28"/>
        </w:rPr>
      </w:pPr>
      <w:r w:rsidRPr="00F41350">
        <w:rPr>
          <w:b/>
          <w:szCs w:val="28"/>
        </w:rPr>
        <w:t>Пояснительная записка к отчету об исполнении плана реализации муниципальной программ</w:t>
      </w:r>
      <w:r>
        <w:rPr>
          <w:b/>
          <w:szCs w:val="28"/>
        </w:rPr>
        <w:t xml:space="preserve">ы «Информационное общество в </w:t>
      </w:r>
      <w:r w:rsidRPr="00F41350">
        <w:rPr>
          <w:b/>
          <w:szCs w:val="28"/>
        </w:rPr>
        <w:t xml:space="preserve">городе </w:t>
      </w:r>
      <w:proofErr w:type="gramStart"/>
      <w:r w:rsidRPr="00F41350">
        <w:rPr>
          <w:b/>
          <w:szCs w:val="28"/>
        </w:rPr>
        <w:t>Азове»  по</w:t>
      </w:r>
      <w:proofErr w:type="gramEnd"/>
      <w:r w:rsidRPr="00F41350">
        <w:rPr>
          <w:b/>
          <w:szCs w:val="28"/>
        </w:rPr>
        <w:t xml:space="preserve"> итогам 1 полугодия 20</w:t>
      </w:r>
      <w:r>
        <w:rPr>
          <w:b/>
          <w:szCs w:val="28"/>
        </w:rPr>
        <w:t>21</w:t>
      </w:r>
      <w:r w:rsidRPr="00F41350">
        <w:rPr>
          <w:b/>
          <w:szCs w:val="28"/>
        </w:rPr>
        <w:t xml:space="preserve"> года</w:t>
      </w:r>
    </w:p>
    <w:p w:rsidR="009A4455" w:rsidRPr="00CA6856" w:rsidRDefault="009A4455" w:rsidP="009A4455">
      <w:pPr>
        <w:pStyle w:val="a3"/>
        <w:ind w:firstLine="709"/>
        <w:jc w:val="left"/>
        <w:rPr>
          <w:b/>
          <w:szCs w:val="28"/>
        </w:rPr>
      </w:pPr>
    </w:p>
    <w:p w:rsidR="009A4455" w:rsidRPr="00CA6856" w:rsidRDefault="009A4455" w:rsidP="009A4455">
      <w:pPr>
        <w:pStyle w:val="a3"/>
        <w:ind w:firstLine="709"/>
        <w:jc w:val="both"/>
        <w:rPr>
          <w:szCs w:val="28"/>
        </w:rPr>
      </w:pPr>
      <w:r w:rsidRPr="00CA6856">
        <w:rPr>
          <w:szCs w:val="28"/>
        </w:rPr>
        <w:t>В целях обеспечения оперативного контроля за реализацией муниципальных программ города Азова</w:t>
      </w:r>
      <w:r>
        <w:rPr>
          <w:szCs w:val="28"/>
        </w:rPr>
        <w:t>, в соответствии с постановлением № 118 от 30.01.2019,</w:t>
      </w:r>
      <w:r w:rsidRPr="00CA6856">
        <w:rPr>
          <w:szCs w:val="28"/>
        </w:rPr>
        <w:t xml:space="preserve"> ответственный исполнитель –</w:t>
      </w:r>
      <w:r>
        <w:rPr>
          <w:szCs w:val="28"/>
        </w:rPr>
        <w:t xml:space="preserve"> общий отдел </w:t>
      </w:r>
      <w:r w:rsidR="00941704">
        <w:rPr>
          <w:szCs w:val="28"/>
        </w:rPr>
        <w:t>А</w:t>
      </w:r>
      <w:r w:rsidRPr="00CA6856">
        <w:rPr>
          <w:szCs w:val="28"/>
        </w:rPr>
        <w:t>дминистрации города Азова вносит на рассмотре</w:t>
      </w:r>
      <w:r>
        <w:rPr>
          <w:szCs w:val="28"/>
        </w:rPr>
        <w:t xml:space="preserve">ние коллегии отчет об исполнении </w:t>
      </w:r>
      <w:r w:rsidRPr="00CA6856">
        <w:rPr>
          <w:szCs w:val="28"/>
        </w:rPr>
        <w:t>плана реализации муниципальной программы «Информационное общество в городе Азове»</w:t>
      </w:r>
      <w:r>
        <w:rPr>
          <w:szCs w:val="28"/>
        </w:rPr>
        <w:t xml:space="preserve"> за отчётный период 1 полугодия 2021 года.</w:t>
      </w:r>
    </w:p>
    <w:p w:rsidR="009A4455" w:rsidRPr="00CA6856" w:rsidRDefault="009A4455" w:rsidP="009A4455">
      <w:pPr>
        <w:pStyle w:val="a3"/>
        <w:jc w:val="left"/>
        <w:rPr>
          <w:szCs w:val="28"/>
        </w:rPr>
      </w:pPr>
    </w:p>
    <w:p w:rsidR="009A4455" w:rsidRPr="00CA6856" w:rsidRDefault="009A4455" w:rsidP="009A4455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П</w:t>
      </w:r>
      <w:r w:rsidRPr="00CA6856">
        <w:rPr>
          <w:szCs w:val="28"/>
        </w:rPr>
        <w:t xml:space="preserve">лан </w:t>
      </w:r>
      <w:r>
        <w:rPr>
          <w:szCs w:val="28"/>
        </w:rPr>
        <w:t xml:space="preserve">реализации муниципальной программы </w:t>
      </w:r>
      <w:r w:rsidRPr="00CA6856">
        <w:rPr>
          <w:szCs w:val="28"/>
        </w:rPr>
        <w:t>на 20</w:t>
      </w:r>
      <w:r>
        <w:rPr>
          <w:szCs w:val="28"/>
        </w:rPr>
        <w:t>21</w:t>
      </w:r>
      <w:r w:rsidRPr="00CA6856">
        <w:rPr>
          <w:szCs w:val="28"/>
        </w:rPr>
        <w:t xml:space="preserve"> год</w:t>
      </w:r>
      <w:r>
        <w:rPr>
          <w:szCs w:val="28"/>
        </w:rPr>
        <w:t xml:space="preserve">, утверждённый постановлением от </w:t>
      </w:r>
      <w:r w:rsidRPr="003F4892">
        <w:rPr>
          <w:szCs w:val="28"/>
        </w:rPr>
        <w:t>23.11.2018 № 2534</w:t>
      </w:r>
      <w:r>
        <w:rPr>
          <w:szCs w:val="28"/>
        </w:rPr>
        <w:t xml:space="preserve"> (в редакции постановление № </w:t>
      </w:r>
      <w:r w:rsidR="00C8039A">
        <w:rPr>
          <w:szCs w:val="28"/>
        </w:rPr>
        <w:t>1342</w:t>
      </w:r>
      <w:r>
        <w:rPr>
          <w:szCs w:val="28"/>
        </w:rPr>
        <w:t xml:space="preserve"> от </w:t>
      </w:r>
      <w:r w:rsidR="00C8039A">
        <w:rPr>
          <w:szCs w:val="28"/>
        </w:rPr>
        <w:t>09.12</w:t>
      </w:r>
      <w:r>
        <w:rPr>
          <w:szCs w:val="28"/>
        </w:rPr>
        <w:t xml:space="preserve">.2020), составляет </w:t>
      </w:r>
      <w:r w:rsidR="00F92E0E">
        <w:rPr>
          <w:szCs w:val="28"/>
        </w:rPr>
        <w:t>34612,1</w:t>
      </w:r>
      <w:r w:rsidRPr="00CA6856">
        <w:rPr>
          <w:szCs w:val="28"/>
        </w:rPr>
        <w:t xml:space="preserve"> тыс. руб., в том числе за счет бюджетных средств – </w:t>
      </w:r>
      <w:r w:rsidR="00F92E0E">
        <w:rPr>
          <w:szCs w:val="28"/>
        </w:rPr>
        <w:t>32184,5</w:t>
      </w:r>
      <w:r w:rsidRPr="00CA6856">
        <w:rPr>
          <w:szCs w:val="28"/>
        </w:rPr>
        <w:t xml:space="preserve"> тыс. руб.</w:t>
      </w:r>
      <w:r>
        <w:rPr>
          <w:szCs w:val="28"/>
        </w:rPr>
        <w:t xml:space="preserve">, за счет </w:t>
      </w:r>
      <w:r w:rsidRPr="00CA6856">
        <w:rPr>
          <w:szCs w:val="28"/>
        </w:rPr>
        <w:t xml:space="preserve">внебюджетных источников – </w:t>
      </w:r>
      <w:r>
        <w:rPr>
          <w:szCs w:val="28"/>
        </w:rPr>
        <w:t>2250,0 тыс. руб</w:t>
      </w:r>
      <w:r w:rsidRPr="00CA6856">
        <w:rPr>
          <w:szCs w:val="28"/>
        </w:rPr>
        <w:t>.</w:t>
      </w:r>
      <w:r>
        <w:rPr>
          <w:szCs w:val="28"/>
        </w:rPr>
        <w:t xml:space="preserve">, за счёт областного бюджета – </w:t>
      </w:r>
      <w:r w:rsidR="005B03AE">
        <w:rPr>
          <w:szCs w:val="28"/>
        </w:rPr>
        <w:t>177,6</w:t>
      </w:r>
      <w:r>
        <w:rPr>
          <w:szCs w:val="28"/>
        </w:rPr>
        <w:t xml:space="preserve"> тыс. руб.</w:t>
      </w:r>
    </w:p>
    <w:p w:rsidR="009A4455" w:rsidRDefault="009A4455" w:rsidP="009A4455">
      <w:pPr>
        <w:pStyle w:val="a3"/>
        <w:ind w:firstLine="708"/>
        <w:jc w:val="both"/>
        <w:rPr>
          <w:szCs w:val="28"/>
        </w:rPr>
      </w:pPr>
      <w:r w:rsidRPr="00112320">
        <w:rPr>
          <w:szCs w:val="28"/>
        </w:rPr>
        <w:t>Кассовый расход на 01.07.20</w:t>
      </w:r>
      <w:r w:rsidR="0065582C">
        <w:rPr>
          <w:szCs w:val="28"/>
        </w:rPr>
        <w:t>21</w:t>
      </w:r>
      <w:r>
        <w:rPr>
          <w:szCs w:val="28"/>
        </w:rPr>
        <w:t xml:space="preserve"> составил</w:t>
      </w:r>
      <w:r w:rsidRPr="00112320">
        <w:rPr>
          <w:szCs w:val="28"/>
        </w:rPr>
        <w:t xml:space="preserve"> – </w:t>
      </w:r>
      <w:r w:rsidR="00F776DB">
        <w:rPr>
          <w:szCs w:val="28"/>
        </w:rPr>
        <w:t>15748,3</w:t>
      </w:r>
      <w:r w:rsidRPr="00112320">
        <w:rPr>
          <w:szCs w:val="28"/>
        </w:rPr>
        <w:t xml:space="preserve"> тыс. руб.,</w:t>
      </w:r>
      <w:r w:rsidRPr="000F5137">
        <w:rPr>
          <w:szCs w:val="28"/>
        </w:rPr>
        <w:t xml:space="preserve"> в том числе за счет средств </w:t>
      </w:r>
      <w:r>
        <w:rPr>
          <w:szCs w:val="28"/>
        </w:rPr>
        <w:t xml:space="preserve">местного бюджета </w:t>
      </w:r>
      <w:r w:rsidR="00F776DB">
        <w:rPr>
          <w:szCs w:val="28"/>
        </w:rPr>
        <w:t>15079,8</w:t>
      </w:r>
      <w:r>
        <w:rPr>
          <w:szCs w:val="28"/>
        </w:rPr>
        <w:t xml:space="preserve"> тыс. руб.,</w:t>
      </w:r>
      <w:r w:rsidRPr="000F5137">
        <w:rPr>
          <w:szCs w:val="28"/>
        </w:rPr>
        <w:t xml:space="preserve"> </w:t>
      </w:r>
      <w:r>
        <w:rPr>
          <w:szCs w:val="28"/>
        </w:rPr>
        <w:t xml:space="preserve">за счет </w:t>
      </w:r>
      <w:r w:rsidRPr="000F5137">
        <w:rPr>
          <w:szCs w:val="28"/>
        </w:rPr>
        <w:t xml:space="preserve">внебюджетных источников </w:t>
      </w:r>
      <w:r w:rsidR="00F776DB">
        <w:rPr>
          <w:szCs w:val="28"/>
        </w:rPr>
        <w:t>603,4</w:t>
      </w:r>
      <w:r>
        <w:rPr>
          <w:szCs w:val="28"/>
        </w:rPr>
        <w:t xml:space="preserve"> тыс. руб., за счёт областного бюджета </w:t>
      </w:r>
      <w:r w:rsidR="00F776DB">
        <w:rPr>
          <w:szCs w:val="28"/>
        </w:rPr>
        <w:t>65,1</w:t>
      </w:r>
      <w:r>
        <w:rPr>
          <w:szCs w:val="28"/>
        </w:rPr>
        <w:t xml:space="preserve"> тыс. руб.</w:t>
      </w:r>
      <w:r w:rsidRPr="000F5137">
        <w:rPr>
          <w:szCs w:val="28"/>
        </w:rPr>
        <w:t xml:space="preserve"> </w:t>
      </w:r>
    </w:p>
    <w:p w:rsidR="006E023A" w:rsidRDefault="006E023A" w:rsidP="0059297B">
      <w:pPr>
        <w:pStyle w:val="a3"/>
        <w:ind w:firstLine="709"/>
        <w:jc w:val="both"/>
        <w:rPr>
          <w:i/>
          <w:szCs w:val="28"/>
          <w:u w:val="single"/>
        </w:rPr>
      </w:pPr>
    </w:p>
    <w:p w:rsidR="0059297B" w:rsidRPr="00F4077E" w:rsidRDefault="0059297B" w:rsidP="0059297B">
      <w:pPr>
        <w:pStyle w:val="a3"/>
        <w:ind w:firstLine="709"/>
        <w:jc w:val="both"/>
        <w:rPr>
          <w:i/>
          <w:szCs w:val="28"/>
          <w:u w:val="single"/>
        </w:rPr>
      </w:pPr>
      <w:r w:rsidRPr="003F4892">
        <w:rPr>
          <w:i/>
          <w:szCs w:val="28"/>
          <w:u w:val="single"/>
        </w:rPr>
        <w:t xml:space="preserve">Подпрограмма 1 </w:t>
      </w:r>
      <w:r>
        <w:rPr>
          <w:i/>
          <w:szCs w:val="28"/>
          <w:u w:val="single"/>
        </w:rPr>
        <w:t>«</w:t>
      </w:r>
      <w:r w:rsidRPr="003F4892">
        <w:rPr>
          <w:i/>
          <w:szCs w:val="28"/>
          <w:u w:val="single"/>
        </w:rPr>
        <w:t>Развитие и использование информационных и коммуникационных технологий в городе Азове, обеспечение деятельности МКУ «ЦОД» г. Азова».</w:t>
      </w:r>
    </w:p>
    <w:p w:rsidR="009A4455" w:rsidRDefault="009A4455" w:rsidP="009A4455">
      <w:pPr>
        <w:pStyle w:val="a3"/>
        <w:ind w:firstLine="708"/>
        <w:jc w:val="both"/>
        <w:rPr>
          <w:i/>
          <w:szCs w:val="28"/>
        </w:rPr>
      </w:pP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1 «Развитие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и коммуникационных технологий в городе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Азове, обеспечение деятельности МКУ «ЦОД» г. Азова» (далее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1) на 2021 год предусмотрено 17 382,8 тыс. рублей,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за счет бюджетных средств – 17 382,8 тыс. руб., за счет внебюджетных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– 0,0.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расход на 01.07.2021 – 7 761,2 тыс. руб. (44,6%),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7 761,2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(44,6%),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внебюджетных источников – 0,0 руб.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Заключено на 01.07.2021 58 контрактов на сумму 6 409,7 тыс. руб.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(90,7%), в том числе за счет бюджетных средств, на сумму 6 409,7 тыс. руб.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средства были предусмотрены на реализацию 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мероприятий: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Организация деятельности центрального офиса МКУ «ЦОД»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Азова, с целью обеспечения деятельности аппарата администрации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(функциональных) органов администрации города.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Приобретение лицензионных прав на программное обеспечение.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Проведение работ по аудиту и созданию подсистемы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безопасности информационных систем персональных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для администрации города Азова,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Азова, Управления ЖКХ г. Азова и МКУ «ЦОД» г. Азова.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подпрограммы: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содержалось и эксплуатировалось автотранспортных средств – 9;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эксплуатируемых нежилых помещений 3078,2 кв. м;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территории, прилежащей к зданию администрации</w:t>
      </w:r>
    </w:p>
    <w:p w:rsidR="0059297B" w:rsidRPr="0059297B" w:rsidRDefault="0059297B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3580,0 кв. м.;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и канцелярской продукцией - 88 человек;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внедрено и сопровождалось прикладного и системного программного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85 единиц;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внесено изменений, размещено файлов и опубликовано статей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– 1490;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обслуживалось вычислительной техники, сетевого и периферийного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2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149 единиц.</w:t>
      </w:r>
    </w:p>
    <w:p w:rsidR="00CA520C" w:rsidRPr="0059297B" w:rsidRDefault="00CA520C" w:rsidP="0059297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20C" w:rsidRPr="0065582C" w:rsidRDefault="0065582C" w:rsidP="0065582C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6DD3">
        <w:rPr>
          <w:rFonts w:ascii="Times New Roman" w:hAnsi="Times New Roman" w:cs="Times New Roman"/>
          <w:i/>
          <w:sz w:val="28"/>
          <w:szCs w:val="28"/>
          <w:u w:val="single"/>
        </w:rPr>
        <w:t>Подпрограмма 2 «Оптимизация и повышение качества предоставления государственных и муниципальных услуг в городе Азове».</w:t>
      </w:r>
    </w:p>
    <w:p w:rsidR="00CA520C" w:rsidRDefault="00CA520C" w:rsidP="001131D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основных мероприятий подпрограммы 2 «Оптимизация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повышение качества предоставления государственных и муниципальных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городе Азове» (далее – подпрограмма 2) на 2021 год предусмотрено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17229,3 тыс. </w:t>
      </w:r>
      <w:proofErr w:type="gramStart"/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рублей.,</w:t>
      </w:r>
      <w:proofErr w:type="gramEnd"/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за счет средств местного бюджета 14801,7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за счет внебюджетных источников 2250,0 тыс. руб., за счёт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 177,6 тыс. руб.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Фактическое освоение средств по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01 июля 2021 года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7987,1 тыс. рублей, или 46,3%.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Кассовый расход на 01.07.2021 составил – 7987,1 тыс. руб., в том числе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7318,6 тыс. руб., за счет внебюджетных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603,4 тыс. руб., за счёт областного бюджета 65,1 тыс. руб.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средства были предусмотрены на реализацию следующих</w:t>
      </w: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мероприятий: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Обеспечение эффективного функционирования муниципального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учреждения города Азова «Многофункциональный центр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услуг» (контрольное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событие: «Количество предоставленных услуг»), которое включает в себя: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обеспечение (финансовое);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техническое обеспечение;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услугами ЖКХ;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услугами связи;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противопожарных мероприятий;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охранных мероприятий;</w:t>
      </w:r>
    </w:p>
    <w:p w:rsidR="001131D1" w:rsidRPr="001131D1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DC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1D1"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пакетов документов в органы, непосредственно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оказывающие государственные и муниципальные услуги;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услуг;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потребителей услуг при обращении в МФЦ лично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 телефону, а также посредством Интернет-ресурсов.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состоянию на 01 июля 2021 года МАУ МФЦ г. Азова оказано 22328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оказано консультаций 6858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1D1" w:rsidRPr="001131D1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Основное мероприятие по регулярному освещению деятельности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</w:p>
    <w:p w:rsidR="00CA520C" w:rsidRPr="00CA520C" w:rsidRDefault="001131D1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«Многофункциональный центр предоставления государственных и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услуг» в СМИ и в сети Интернет (контрольное событие:</w:t>
      </w:r>
      <w:r w:rsidR="0055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31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публикаций услуг), которое включает в себя повышение</w:t>
      </w:r>
      <w:r w:rsid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0C"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потребителей услуг о возможности получения</w:t>
      </w:r>
      <w:r w:rsid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0C"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 на базе МФЦ, финансирования не</w:t>
      </w:r>
      <w:r w:rsid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0C"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июля 2021 года МАУ МФЦ г. Азова размещено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публикаций в городской газете «Азовская неделя», 16 информационное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на интернет-портале http://www.mfc61.ru/.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3 Организация предоставления государственных и 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базе МАУ МФЦ г. Азова в рамках обеспечения принципа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экстерриториальности (контрольное событие: количество оказываемых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по принципу экстерриториальности), которое включает в себя: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услуг;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пакетов документов в многофункциональные центры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Ростовской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для оказания государственных и муниципальных услуг;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услуг;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июля 2021 года в МАУ МФЦ г. Азова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принципа экстерриториальности оказывается 103 услуги.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Регулярное обучение сотрудников МАУ МФЦ г. Азова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системного непрерывного обучения и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(контрольное событие: количество работников МФЦ, прошедших обучение),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включает в себя увеличение уровня профессионализма специалистов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 области оказания государственных и муниципальных услуг,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информационных и телекоммуникационных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не требуют.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 июля 2021 года в МАУ МФЦ г. Азова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видеоконференцсвязи по вопросам, связанным с приемом документов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 </w:t>
      </w:r>
      <w:proofErr w:type="spellStart"/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перехода на работу ФГИС ЕГРН 2 человека.</w:t>
      </w:r>
    </w:p>
    <w:p w:rsidR="00CA520C" w:rsidRPr="00CA520C" w:rsidRDefault="00CA520C" w:rsidP="0065582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же осуществление основных мероприятий,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способствует повышению качества услуг,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МАУ МФЦ г. Азова.</w:t>
      </w:r>
    </w:p>
    <w:p w:rsidR="00403EC0" w:rsidRDefault="00403EC0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  <w:sectPr w:rsidR="00403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EC0" w:rsidRPr="00635C25" w:rsidRDefault="00403EC0" w:rsidP="00403EC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lastRenderedPageBreak/>
        <w:t>Таблица 12</w:t>
      </w:r>
    </w:p>
    <w:p w:rsidR="00403EC0" w:rsidRPr="00635C25" w:rsidRDefault="00403EC0" w:rsidP="00403E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>ОТЧЕТ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AB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05AB1">
        <w:rPr>
          <w:rFonts w:ascii="Times New Roman" w:hAnsi="Times New Roman" w:cs="Times New Roman"/>
          <w:sz w:val="24"/>
          <w:szCs w:val="24"/>
        </w:rPr>
        <w:t xml:space="preserve"> исполнении плана реализации муниципальной программы «Информационное общество в городе Азове»  </w:t>
      </w: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05AB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05AB1">
        <w:rPr>
          <w:rFonts w:ascii="Times New Roman" w:hAnsi="Times New Roman" w:cs="Times New Roman"/>
          <w:sz w:val="24"/>
          <w:szCs w:val="24"/>
        </w:rPr>
        <w:t xml:space="preserve"> отчетный период 6 мес. 2021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2"/>
        <w:gridCol w:w="991"/>
      </w:tblGrid>
      <w:tr w:rsidR="00403EC0" w:rsidRPr="00305AB1" w:rsidTr="00C109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127" w:history="1">
              <w:r w:rsidRPr="00305AB1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03EC0" w:rsidRPr="00305AB1" w:rsidTr="00C109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635C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использование информационных и коммуникационных технологий в городе Азове, обеспечение деятельности МКУ «ЦОД» г. Азова»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17382,8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17382,8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7761,2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современных информационно-аналитических программ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Информационно-материальное обеспечение деятельности органов исполнительной власти города Азова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58,8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Унификация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и ресурсов во всех структурных подразделениях органов муниципальной власти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и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систем управления и контроля, а так же проведение работ по аудиту и созданию подсистемы обеспечения информационной безопасности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2973,4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2973,4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1378,4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</w:p>
          <w:p w:rsidR="00403EC0" w:rsidRPr="00305AB1" w:rsidRDefault="00403EC0" w:rsidP="00C109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разрыва в техническом обеспечении управленческого прогресса между муниципальным образованием и региональными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органами  власти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(ликвидация цифрового неравенства)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технической поддержки и сопровождения системы электронного документооборота и межведомственного взаимодействия между муниципальным образованием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« город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Азов»и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РО.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 функционирование зданий и имущества переданного в оперативное управление МКУ «ЦОД»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обеспечивающего деятельность муниципального органа власти 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бесперебойной деятельности аппарата администрации и отраслевых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органов администрации города.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14155,6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14155,6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6327,7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1.1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информационно телекоммуникационной инфраструктуры администрации и обеспечение бесперебойного функционирования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1.2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Обновление и содержание информационной и телекоммуникационной инфраструктуры администрации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1.3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Поддержание межведомственного взаимодействия на уровне, благодаря современной технической поддержке и сопровождению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1.4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Бесперебойная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работа  МКУ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«ЦОД» г. Азова, аппарата администрации и отраслевых ( функциональных) органов администрации благодаря своевременному и полному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несению затрат на содержание и ремонт имущества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«ЦОД» г. Азова</w:t>
            </w:r>
          </w:p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(Горохов В.С.)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01.01.2021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03EC0" w:rsidRPr="00305AB1" w:rsidRDefault="00403EC0" w:rsidP="00403EC0">
      <w:pPr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701"/>
        <w:gridCol w:w="2126"/>
        <w:gridCol w:w="1134"/>
        <w:gridCol w:w="1276"/>
        <w:gridCol w:w="1417"/>
        <w:gridCol w:w="1701"/>
        <w:gridCol w:w="993"/>
        <w:gridCol w:w="991"/>
        <w:gridCol w:w="992"/>
      </w:tblGrid>
      <w:tr w:rsidR="00403EC0" w:rsidRPr="00305AB1" w:rsidTr="00C109A1">
        <w:trPr>
          <w:tblHeader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03EC0" w:rsidRPr="00305AB1" w:rsidTr="00C109A1">
        <w:trPr>
          <w:trHeight w:val="200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Подпрограмма 2 «Оптимизация и повышение качества предоставления государственных и муниципальных услуг в городе Азове»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Азова (общий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отдел)  МАУ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МФЦ г. Азова 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A111DF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14979,3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A111DF" w:rsidP="00C109A1">
            <w:pPr>
              <w:spacing w:before="100" w:before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14979,3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before="100" w:beforeAutospacing="1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7383,7 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2.1  Обеспечение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функционирования муниципального автономного учреждения города Азова «Многофункциональный центр предоставления государственных и муниципальных услуг»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Выполнение запланированного количества предоставления МАУ МФЦ г. Азова услуг (в том числе принятых запросов и оказанных консультаций)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A111DF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14777,7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A111DF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14777,7</w:t>
            </w:r>
            <w:r w:rsidR="00403EC0"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7306,0 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603,4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rHeight w:val="251"/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 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2.2  Регулярное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освещение деятельности муниципального автономного учреждения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Азова «Многофункциональный центр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потребителей услуг о возможности получения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услуг на базе МФЦ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Основное мероприятие 2.3 Организация предоставления государственных и муниципальных услуг на базе МАУ МФЦ г. Азова в рамках обеспечения принципа экстерриториальности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государственных и муниципальных услуг в 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по принципу экстерриториальности в соответствии с перечнем государственных и муниципальных услуг, оказываемых по принципу экстерриториальности на территории Ростовской области многофункциональными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цетрами</w:t>
            </w:r>
            <w:proofErr w:type="spell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01.01.2021 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201,6 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201,6 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77,7 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19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2.4  Регулярное</w:t>
            </w:r>
            <w:proofErr w:type="gramEnd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сотрудников МАУ МФЦ г. Азова в рамках системы непрерывного обучения и повышения квалификации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spacing w:before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2.1 Количество предоставленных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 г. Азова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МАУ МФЦ </w:t>
            </w:r>
            <w:proofErr w:type="spellStart"/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г.Азова</w:t>
            </w:r>
            <w:proofErr w:type="spellEnd"/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Увеличение уровня профессионализма специалистов МФЦ в области оказания государственных и муниципальных услуг, а также использования информационных телекоммуникационных технологий </w:t>
            </w:r>
          </w:p>
        </w:tc>
        <w:tc>
          <w:tcPr>
            <w:tcW w:w="1134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2.2 Количество публикаций услуг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2.3 Количество оказываемых услуг по принципу экстерриториальности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2.4 Количество работников </w:t>
            </w: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МФЦ, прошедших обучение.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МФЦ</w:t>
            </w:r>
          </w:p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 xml:space="preserve"> г. Азова </w:t>
            </w:r>
          </w:p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(Фомина И.С.) 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0" w:rsidRPr="00305AB1" w:rsidTr="00C109A1">
        <w:trPr>
          <w:tblCellSpacing w:w="5" w:type="nil"/>
        </w:trPr>
        <w:tc>
          <w:tcPr>
            <w:tcW w:w="426" w:type="dxa"/>
          </w:tcPr>
          <w:p w:rsidR="00403EC0" w:rsidRPr="00305AB1" w:rsidRDefault="00403EC0" w:rsidP="00C109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03EC0" w:rsidRPr="00305AB1" w:rsidRDefault="00403EC0" w:rsidP="00C109A1">
            <w:pPr>
              <w:spacing w:after="100" w:afterAutospacing="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701" w:type="dxa"/>
          </w:tcPr>
          <w:p w:rsidR="00403EC0" w:rsidRPr="00305AB1" w:rsidRDefault="00403EC0" w:rsidP="00C109A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(общий отдел)</w:t>
            </w:r>
          </w:p>
        </w:tc>
        <w:tc>
          <w:tcPr>
            <w:tcW w:w="212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03EC0" w:rsidRPr="00305AB1" w:rsidRDefault="00E32DCD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32362,1</w:t>
            </w:r>
          </w:p>
        </w:tc>
        <w:tc>
          <w:tcPr>
            <w:tcW w:w="1701" w:type="dxa"/>
          </w:tcPr>
          <w:p w:rsidR="00403EC0" w:rsidRPr="00305AB1" w:rsidRDefault="00E32DCD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32362,1</w:t>
            </w:r>
            <w:bookmarkStart w:id="0" w:name="_GoBack"/>
            <w:bookmarkEnd w:id="0"/>
          </w:p>
        </w:tc>
        <w:tc>
          <w:tcPr>
            <w:tcW w:w="993" w:type="dxa"/>
          </w:tcPr>
          <w:p w:rsidR="00403EC0" w:rsidRPr="00305AB1" w:rsidRDefault="00403EC0" w:rsidP="00C109A1">
            <w:pPr>
              <w:spacing w:after="100" w:afterAutospacing="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15144,9</w:t>
            </w:r>
          </w:p>
        </w:tc>
        <w:tc>
          <w:tcPr>
            <w:tcW w:w="991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AB1">
              <w:rPr>
                <w:rFonts w:ascii="Times New Roman" w:hAnsi="Times New Roman" w:cs="Times New Roman"/>
                <w:sz w:val="24"/>
                <w:szCs w:val="24"/>
              </w:rPr>
              <w:t>603,4</w:t>
            </w:r>
          </w:p>
        </w:tc>
        <w:tc>
          <w:tcPr>
            <w:tcW w:w="992" w:type="dxa"/>
          </w:tcPr>
          <w:p w:rsidR="00403EC0" w:rsidRPr="00305AB1" w:rsidRDefault="00403EC0" w:rsidP="00C109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&lt;1&gt;</w:t>
      </w:r>
      <w:r w:rsidRPr="00635C25">
        <w:rPr>
          <w:rFonts w:ascii="Times New Roman" w:hAnsi="Times New Roman" w:cs="Times New Roman"/>
          <w:sz w:val="2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исполнительной власти города Азова, определенного ответственным исполнителем, соисполнителем. 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&lt;2&gt;</w:t>
      </w:r>
      <w:r w:rsidRPr="00635C25">
        <w:rPr>
          <w:rFonts w:ascii="Times New Roman" w:hAnsi="Times New Roman" w:cs="Times New Roman"/>
          <w:sz w:val="22"/>
        </w:rPr>
        <w:t xml:space="preserve"> Графа заполняется по завершенным основным мероприятиям, мероприятиям, мероприятиям ведомственных целевых программ. </w:t>
      </w:r>
    </w:p>
    <w:p w:rsidR="00403EC0" w:rsidRPr="00635C25" w:rsidRDefault="00403EC0" w:rsidP="00403EC0">
      <w:pPr>
        <w:ind w:right="-285"/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&lt;3&gt;</w:t>
      </w:r>
      <w:r w:rsidRPr="00635C25">
        <w:rPr>
          <w:rFonts w:ascii="Times New Roman" w:hAnsi="Times New Roman" w:cs="Times New Roman"/>
          <w:sz w:val="22"/>
        </w:rPr>
        <w:t xml:space="preserve"> В случае наличия нескольких контрольных событиях одного основного мероприятия. </w:t>
      </w:r>
    </w:p>
    <w:p w:rsidR="00403EC0" w:rsidRPr="00635C25" w:rsidRDefault="00403EC0" w:rsidP="00403EC0">
      <w:pPr>
        <w:textAlignment w:val="baseline"/>
        <w:rPr>
          <w:rFonts w:ascii="Times New Roman" w:hAnsi="Times New Roman" w:cs="Times New Roman"/>
          <w:sz w:val="22"/>
        </w:rPr>
      </w:pPr>
      <w:r w:rsidRPr="00635C25">
        <w:rPr>
          <w:rFonts w:ascii="Times New Roman" w:hAnsi="Times New Roman" w:cs="Times New Roman"/>
          <w:color w:val="000080"/>
          <w:sz w:val="22"/>
          <w:u w:val="single"/>
        </w:rPr>
        <w:t>&lt;4&gt;</w:t>
      </w:r>
      <w:r w:rsidRPr="00635C25">
        <w:rPr>
          <w:rFonts w:ascii="Times New Roman" w:hAnsi="Times New Roman" w:cs="Times New Roman"/>
          <w:sz w:val="22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- МП, основное мероприятие – ОМ, приоритетное основное мероприятие - ПОМ,  </w:t>
      </w:r>
    </w:p>
    <w:p w:rsidR="00403EC0" w:rsidRPr="00635C25" w:rsidRDefault="00403EC0" w:rsidP="00403EC0">
      <w:pPr>
        <w:widowControl w:val="0"/>
        <w:autoSpaceDE w:val="0"/>
        <w:autoSpaceDN w:val="0"/>
        <w:adjustRightInd w:val="0"/>
        <w:ind w:right="-284"/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2"/>
        </w:rPr>
      </w:pPr>
    </w:p>
    <w:p w:rsidR="00403EC0" w:rsidRPr="00635C25" w:rsidRDefault="00403EC0" w:rsidP="00403EC0">
      <w:pPr>
        <w:rPr>
          <w:rFonts w:ascii="Times New Roman" w:hAnsi="Times New Roman" w:cs="Times New Roman"/>
          <w:sz w:val="28"/>
          <w:szCs w:val="28"/>
        </w:rPr>
      </w:pPr>
      <w:r w:rsidRPr="00635C2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                                                       </w:t>
      </w:r>
    </w:p>
    <w:p w:rsidR="00403EC0" w:rsidRPr="00635C25" w:rsidRDefault="00403EC0" w:rsidP="00403EC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5C25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35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И.Н. Дзюба</w:t>
      </w:r>
    </w:p>
    <w:p w:rsidR="00E25E6E" w:rsidRPr="00635C25" w:rsidRDefault="007A7C12" w:rsidP="00403E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25E6E" w:rsidRPr="00635C25" w:rsidSect="005C46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2296"/>
    <w:multiLevelType w:val="hybridMultilevel"/>
    <w:tmpl w:val="1D4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D1"/>
    <w:rsid w:val="000455BA"/>
    <w:rsid w:val="001131D1"/>
    <w:rsid w:val="00305AB1"/>
    <w:rsid w:val="00311EFF"/>
    <w:rsid w:val="00403EC0"/>
    <w:rsid w:val="0053550A"/>
    <w:rsid w:val="00557A54"/>
    <w:rsid w:val="0059297B"/>
    <w:rsid w:val="005B03AE"/>
    <w:rsid w:val="00610157"/>
    <w:rsid w:val="00635C25"/>
    <w:rsid w:val="0065582C"/>
    <w:rsid w:val="006E023A"/>
    <w:rsid w:val="0076110B"/>
    <w:rsid w:val="007A7C12"/>
    <w:rsid w:val="00836BF4"/>
    <w:rsid w:val="00941704"/>
    <w:rsid w:val="00952997"/>
    <w:rsid w:val="009A4455"/>
    <w:rsid w:val="00A111DF"/>
    <w:rsid w:val="00C8039A"/>
    <w:rsid w:val="00CA520C"/>
    <w:rsid w:val="00CF2658"/>
    <w:rsid w:val="00DC122B"/>
    <w:rsid w:val="00E32DCD"/>
    <w:rsid w:val="00F776DB"/>
    <w:rsid w:val="00F9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E09BA-5992-4284-9A13-FA6403E1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1"/>
    <w:rsid w:val="009A4455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A4455"/>
  </w:style>
  <w:style w:type="character" w:customStyle="1" w:styleId="1">
    <w:name w:val="Основной текст Знак1"/>
    <w:aliases w:val="Основной текст1 Знак,Основной текст Знак Знак Знак,bt Знак"/>
    <w:basedOn w:val="a0"/>
    <w:link w:val="a3"/>
    <w:locked/>
    <w:rsid w:val="009A44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0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03EC0"/>
    <w:pPr>
      <w:ind w:left="720"/>
      <w:contextualSpacing/>
    </w:pPr>
  </w:style>
  <w:style w:type="paragraph" w:customStyle="1" w:styleId="ConsPlusNonformat">
    <w:name w:val="ConsPlusNonformat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Cell">
    <w:name w:val="ConsPlusCell"/>
    <w:uiPriority w:val="99"/>
    <w:rsid w:val="00403EC0"/>
    <w:pPr>
      <w:widowControl w:val="0"/>
      <w:autoSpaceDE w:val="0"/>
      <w:autoSpaceDN w:val="0"/>
      <w:adjustRightInd w:val="0"/>
      <w:spacing w:line="240" w:lineRule="auto"/>
    </w:pPr>
    <w:rPr>
      <w:rFonts w:eastAsia="Times New Roman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4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Сеник Екатерина Александровна</dc:creator>
  <cp:keywords/>
  <dc:description/>
  <cp:lastModifiedBy>Сеник Екатерина Александровна</cp:lastModifiedBy>
  <cp:revision>3</cp:revision>
  <cp:lastPrinted>2021-08-10T09:33:00Z</cp:lastPrinted>
  <dcterms:created xsi:type="dcterms:W3CDTF">2021-08-16T09:44:00Z</dcterms:created>
  <dcterms:modified xsi:type="dcterms:W3CDTF">2021-08-31T14:28:00Z</dcterms:modified>
</cp:coreProperties>
</file>